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Fonts w:hint="eastAsia" w:ascii="仿宋_GB2312" w:eastAsia="仿宋_GB2312"/>
          <w:sz w:val="32"/>
          <w:szCs w:val="32"/>
        </w:rPr>
      </w:pPr>
      <w:r>
        <w:rPr>
          <w:rFonts w:hint="eastAsia" w:ascii="仿宋_GB2312" w:eastAsia="仿宋_GB2312"/>
          <w:sz w:val="32"/>
          <w:szCs w:val="32"/>
        </w:rPr>
        <w:t>附件：</w:t>
      </w:r>
    </w:p>
    <w:p>
      <w:pPr>
        <w:widowControl/>
        <w:spacing w:line="360" w:lineRule="auto"/>
        <w:jc w:val="center"/>
        <w:rPr>
          <w:rFonts w:ascii="方正小标宋简体" w:hAnsi="方正小标宋简体" w:eastAsia="方正小标宋简体" w:cs="方正小标宋简体"/>
          <w:color w:val="000000"/>
          <w:kern w:val="0"/>
          <w:sz w:val="44"/>
          <w:szCs w:val="44"/>
          <w:lang w:bidi="ar"/>
        </w:rPr>
      </w:pPr>
      <w:bookmarkStart w:id="0" w:name="_GoBack"/>
      <w:r>
        <w:rPr>
          <w:rFonts w:hint="eastAsia" w:ascii="方正小标宋简体" w:hAnsi="方正小标宋简体" w:eastAsia="方正小标宋简体" w:cs="方正小标宋简体"/>
          <w:color w:val="000000"/>
          <w:kern w:val="0"/>
          <w:sz w:val="44"/>
          <w:szCs w:val="44"/>
          <w:lang w:bidi="ar"/>
        </w:rPr>
        <w:t>凌云街道内部公平竞争审查制度</w:t>
      </w:r>
      <w:bookmarkEnd w:id="0"/>
    </w:p>
    <w:p>
      <w:pPr>
        <w:pStyle w:val="2"/>
        <w:ind w:left="420"/>
        <w:rPr>
          <w:rFonts w:ascii="仿宋_GB2312" w:hAnsi="华文仿宋" w:eastAsia="仿宋_GB2312" w:cs="Tahoma"/>
          <w:b/>
          <w:color w:val="000000"/>
          <w:kern w:val="0"/>
          <w:sz w:val="32"/>
          <w:szCs w:val="32"/>
          <w:lang w:val="en"/>
        </w:rPr>
      </w:pPr>
    </w:p>
    <w:p>
      <w:pPr>
        <w:pStyle w:val="4"/>
        <w:shd w:val="clear" w:color="auto" w:fill="FFFFFF"/>
        <w:spacing w:before="0" w:beforeAutospacing="0" w:after="0" w:afterAutospacing="0" w:line="560" w:lineRule="exact"/>
        <w:ind w:firstLine="640" w:firstLineChars="200"/>
        <w:jc w:val="both"/>
      </w:pPr>
      <w:r>
        <w:rPr>
          <w:rFonts w:hint="eastAsia" w:ascii="仿宋_GB2312" w:hAnsi="华文仿宋" w:eastAsia="仿宋_GB2312" w:cs="Tahoma"/>
          <w:color w:val="000000"/>
          <w:sz w:val="32"/>
          <w:szCs w:val="32"/>
        </w:rPr>
        <w:t>为全面落实公平竞争审查制度，健全公平竞争审查机制，规范有效开展审查工作，</w:t>
      </w:r>
      <w:r>
        <w:rPr>
          <w:rFonts w:hint="eastAsia" w:ascii="仿宋_GB2312" w:hAnsi="华文仿宋" w:eastAsia="仿宋_GB2312" w:cs="Tahoma"/>
          <w:color w:val="000000"/>
          <w:sz w:val="32"/>
          <w:szCs w:val="32"/>
          <w:lang w:val="en"/>
        </w:rPr>
        <w:t>根据五部门《关于印发</w:t>
      </w:r>
      <w:r>
        <w:rPr>
          <w:rFonts w:hint="eastAsia" w:ascii="仿宋_GB2312" w:hAnsi="华文仿宋" w:eastAsia="仿宋_GB2312" w:cs="Tahoma"/>
          <w:color w:val="000000"/>
          <w:sz w:val="32"/>
          <w:szCs w:val="32"/>
        </w:rPr>
        <w:t>&lt;</w:t>
      </w:r>
      <w:r>
        <w:rPr>
          <w:rFonts w:hint="eastAsia" w:ascii="仿宋_GB2312" w:hAnsi="华文仿宋" w:eastAsia="仿宋_GB2312" w:cs="Tahoma"/>
          <w:color w:val="000000"/>
          <w:sz w:val="32"/>
          <w:szCs w:val="32"/>
          <w:lang w:val="en"/>
        </w:rPr>
        <w:t>公平竞争审</w:t>
      </w:r>
      <w:r>
        <w:rPr>
          <w:rFonts w:hint="eastAsia" w:ascii="仿宋_GB2312" w:hAnsi="仿宋_GB2312" w:eastAsia="仿宋_GB2312" w:cs="仿宋_GB2312"/>
          <w:color w:val="000000"/>
          <w:sz w:val="32"/>
          <w:szCs w:val="32"/>
          <w:shd w:val="clear" w:color="auto" w:fill="FFFFFF"/>
          <w:lang w:bidi="ar"/>
        </w:rPr>
        <w:t>查制度实施细则&gt;的通知》（国市监反垄规〔2021〕2号）</w:t>
      </w:r>
      <w:r>
        <w:rPr>
          <w:rFonts w:hint="eastAsia" w:ascii="仿宋_GB2312" w:hAnsi="华文仿宋" w:eastAsia="仿宋_GB2312" w:cs="Tahoma"/>
          <w:color w:val="000000"/>
          <w:sz w:val="32"/>
          <w:szCs w:val="32"/>
        </w:rPr>
        <w:t>等文件要求，现制定本单位内部公平竞争审查制度。</w:t>
      </w:r>
    </w:p>
    <w:p>
      <w:pPr>
        <w:pStyle w:val="4"/>
        <w:shd w:val="clear" w:color="auto" w:fill="FFFFFF"/>
        <w:adjustRightInd w:val="0"/>
        <w:snapToGrid w:val="0"/>
        <w:spacing w:before="0" w:beforeAutospacing="0" w:after="0" w:afterAutospacing="0" w:line="560" w:lineRule="exact"/>
        <w:ind w:firstLine="640" w:firstLineChars="200"/>
        <w:rPr>
          <w:rFonts w:ascii="仿宋_GB2312" w:hAnsi="华文仿宋" w:eastAsia="仿宋_GB2312" w:cs="Tahoma"/>
          <w:color w:val="000000"/>
          <w:sz w:val="32"/>
          <w:szCs w:val="32"/>
        </w:rPr>
      </w:pPr>
      <w:r>
        <w:rPr>
          <w:rFonts w:hint="eastAsia" w:ascii="黑体" w:hAnsi="黑体" w:eastAsia="黑体" w:cs="Tahoma"/>
          <w:color w:val="000000"/>
          <w:sz w:val="32"/>
          <w:szCs w:val="32"/>
        </w:rPr>
        <w:t>一、</w:t>
      </w:r>
      <w:r>
        <w:rPr>
          <w:rFonts w:hint="eastAsia" w:ascii="黑体" w:hAnsi="黑体" w:eastAsia="黑体" w:cs="Tahoma"/>
          <w:sz w:val="32"/>
          <w:szCs w:val="32"/>
        </w:rPr>
        <w:t>审查对象</w:t>
      </w:r>
    </w:p>
    <w:p>
      <w:pPr>
        <w:pStyle w:val="4"/>
        <w:shd w:val="clear" w:color="auto" w:fill="FFFFFF"/>
        <w:adjustRightInd w:val="0"/>
        <w:snapToGrid w:val="0"/>
        <w:spacing w:before="0" w:beforeAutospacing="0" w:after="0" w:afterAutospacing="0" w:line="560" w:lineRule="exact"/>
        <w:ind w:firstLine="640" w:firstLineChars="200"/>
        <w:jc w:val="both"/>
        <w:rPr>
          <w:rFonts w:ascii="仿宋_GB2312" w:hAnsi="华文仿宋" w:eastAsia="仿宋_GB2312" w:cs="Tahoma"/>
          <w:color w:val="000000"/>
          <w:sz w:val="32"/>
          <w:szCs w:val="32"/>
        </w:rPr>
      </w:pPr>
      <w:r>
        <w:rPr>
          <w:rFonts w:hint="eastAsia" w:ascii="仿宋_GB2312" w:hAnsi="仿宋_GB2312" w:eastAsia="仿宋_GB2312" w:cs="仿宋_GB2312"/>
          <w:sz w:val="32"/>
          <w:szCs w:val="32"/>
        </w:rPr>
        <w:t>本单位在起草制定市场准入和退出、产业发展、招商引资、招标投标、政府采购、经营行为规范、资质标准等涉及市场主体经济活动的行政规范性文件、其他政策性文件及“一事一议”形式的具体政策措施（以下统称政策措施）时，</w:t>
      </w:r>
      <w:r>
        <w:rPr>
          <w:rFonts w:hint="eastAsia" w:ascii="仿宋_GB2312" w:hAnsi="华文仿宋" w:eastAsia="仿宋_GB2312" w:cs="Tahoma"/>
          <w:color w:val="000000"/>
          <w:sz w:val="32"/>
          <w:szCs w:val="32"/>
        </w:rPr>
        <w:t>应当进行公平竞争审查，评估对市场竞争的影响，防止排除、限制市场竞争。</w:t>
      </w:r>
    </w:p>
    <w:p>
      <w:pPr>
        <w:pStyle w:val="4"/>
        <w:shd w:val="clear" w:color="auto" w:fill="FFFFFF"/>
        <w:adjustRightInd w:val="0"/>
        <w:snapToGrid w:val="0"/>
        <w:spacing w:before="0" w:beforeAutospacing="0" w:after="0" w:afterAutospacing="0" w:line="560" w:lineRule="exact"/>
        <w:ind w:firstLine="640" w:firstLineChars="200"/>
        <w:jc w:val="both"/>
        <w:rPr>
          <w:rFonts w:ascii="黑体" w:hAnsi="黑体" w:eastAsia="黑体" w:cs="Tahoma"/>
          <w:color w:val="000000"/>
          <w:sz w:val="32"/>
          <w:szCs w:val="32"/>
        </w:rPr>
      </w:pPr>
      <w:r>
        <w:rPr>
          <w:rFonts w:hint="eastAsia" w:ascii="黑体" w:hAnsi="黑体" w:eastAsia="黑体" w:cs="Tahoma"/>
          <w:color w:val="000000"/>
          <w:sz w:val="32"/>
          <w:szCs w:val="32"/>
        </w:rPr>
        <w:t>二、</w:t>
      </w:r>
      <w:r>
        <w:rPr>
          <w:rFonts w:hint="eastAsia" w:ascii="黑体" w:hAnsi="黑体" w:eastAsia="黑体" w:cs="Tahoma"/>
          <w:sz w:val="32"/>
          <w:szCs w:val="32"/>
        </w:rPr>
        <w:t>审查机构</w:t>
      </w:r>
    </w:p>
    <w:p>
      <w:pPr>
        <w:adjustRightInd w:val="0"/>
        <w:snapToGrid w:val="0"/>
        <w:spacing w:line="560" w:lineRule="exact"/>
        <w:ind w:firstLine="640" w:firstLineChars="200"/>
      </w:pPr>
      <w:r>
        <w:rPr>
          <w:rFonts w:hint="eastAsia" w:ascii="仿宋_GB2312" w:hAnsi="仿宋_GB2312" w:eastAsia="仿宋_GB2312" w:cs="仿宋_GB2312"/>
          <w:sz w:val="32"/>
          <w:szCs w:val="32"/>
        </w:rPr>
        <w:t>按照“谁制定、谁负责”的原则，对本单位起草制定的政策措施进行自我审查。其中，以街道办事处名义制定出台的政策措施，由牵头起草部门作为审查主体。</w:t>
      </w:r>
    </w:p>
    <w:p>
      <w:pPr>
        <w:adjustRightInd w:val="0"/>
        <w:snapToGrid w:val="0"/>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营商环境办公室为本单位公平竞争审查的内部审查机构。政策措施需经牵头起草科室初审、营商环境办公室复审。</w:t>
      </w:r>
    </w:p>
    <w:p>
      <w:pPr>
        <w:spacing w:line="560" w:lineRule="exact"/>
        <w:ind w:firstLine="640" w:firstLineChars="200"/>
        <w:rPr>
          <w:rFonts w:ascii="黑体" w:hAnsi="黑体" w:eastAsia="黑体" w:cs="Tahoma"/>
          <w:color w:val="000000"/>
          <w:sz w:val="32"/>
          <w:szCs w:val="32"/>
        </w:rPr>
      </w:pPr>
      <w:r>
        <w:rPr>
          <w:rFonts w:hint="eastAsia" w:ascii="黑体" w:hAnsi="黑体" w:eastAsia="黑体" w:cs="Tahoma"/>
          <w:color w:val="000000"/>
          <w:sz w:val="32"/>
          <w:szCs w:val="32"/>
        </w:rPr>
        <w:t>三、审查方式</w:t>
      </w:r>
    </w:p>
    <w:p>
      <w:pPr>
        <w:pStyle w:val="4"/>
        <w:shd w:val="clear" w:color="auto" w:fill="FFFFFF"/>
        <w:adjustRightInd w:val="0"/>
        <w:snapToGrid w:val="0"/>
        <w:spacing w:before="0" w:beforeAutospacing="0" w:after="0" w:afterAutospacing="0" w:line="560" w:lineRule="exact"/>
        <w:ind w:firstLine="640" w:firstLineChars="20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各科室牵头起草以街道办事处名义出台的相关政策措施时，应严格进行自我审查，形成初审结论后，提交营商环境办公室复审。营商环境办公室进行实质复核并反馈复审意见。经反馈修改后，需报街道“三重一大”程序审核。</w:t>
      </w:r>
    </w:p>
    <w:p>
      <w:pPr>
        <w:pStyle w:val="4"/>
        <w:shd w:val="clear" w:color="auto" w:fill="FFFFFF"/>
        <w:adjustRightInd w:val="0"/>
        <w:snapToGrid w:val="0"/>
        <w:spacing w:before="0" w:beforeAutospacing="0" w:after="0" w:afterAutospacing="0" w:line="560" w:lineRule="exact"/>
        <w:ind w:firstLine="640" w:firstLineChars="20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经公平竞争审查认为不具有排除、限制竞争效果或者符合例外规定的，可以实施；具有排除、限制竞争效果且不符合例外规定的，应当不予出台或者调整至符合相关要求后出台；未经公平竞争审查的，不得出台。</w:t>
      </w:r>
    </w:p>
    <w:p>
      <w:pPr>
        <w:pStyle w:val="4"/>
        <w:shd w:val="clear" w:color="auto" w:fill="FFFFFF"/>
        <w:adjustRightInd w:val="0"/>
        <w:snapToGrid w:val="0"/>
        <w:spacing w:before="0" w:beforeAutospacing="0" w:after="0" w:afterAutospacing="0" w:line="560" w:lineRule="exact"/>
        <w:ind w:firstLine="640" w:firstLineChars="200"/>
        <w:rPr>
          <w:rFonts w:ascii="黑体" w:hAnsi="黑体" w:eastAsia="黑体" w:cs="Tahoma"/>
          <w:color w:val="000000"/>
          <w:sz w:val="32"/>
          <w:szCs w:val="32"/>
        </w:rPr>
      </w:pPr>
      <w:r>
        <w:rPr>
          <w:rFonts w:hint="eastAsia" w:ascii="黑体" w:hAnsi="黑体" w:eastAsia="黑体" w:cs="Tahoma"/>
          <w:color w:val="000000"/>
          <w:sz w:val="32"/>
          <w:szCs w:val="32"/>
        </w:rPr>
        <w:t>四、审查程序</w:t>
      </w:r>
    </w:p>
    <w:p>
      <w:p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在政策措施制定过程中应遵循审查基本流程（附件1）进行公平竞争审查，识别相关政策措施是否属于审查对象、判断是否违反审查标准、分析是否适用例外规定。属于审查对象的，填写《公平竞争审查表》（附件2），形成书面审查结论。</w:t>
      </w:r>
    </w:p>
    <w:p>
      <w:pPr>
        <w:pStyle w:val="4"/>
        <w:numPr>
          <w:ilvl w:val="0"/>
          <w:numId w:val="1"/>
        </w:numPr>
        <w:shd w:val="clear" w:color="auto" w:fill="FFFFFF"/>
        <w:adjustRightInd w:val="0"/>
        <w:snapToGrid w:val="0"/>
        <w:spacing w:before="0" w:beforeAutospacing="0" w:after="0" w:afterAutospacing="0" w:line="560" w:lineRule="exact"/>
        <w:ind w:left="640" w:hanging="64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《公平竞争审查表》经起草科室、营商环境办公室、起草科室分管领导签字确认后，加盖本单位公章，完成公平竞争审查程序。</w:t>
      </w:r>
    </w:p>
    <w:p>
      <w:pPr>
        <w:pStyle w:val="4"/>
        <w:numPr>
          <w:ilvl w:val="0"/>
          <w:numId w:val="1"/>
        </w:numPr>
        <w:shd w:val="clear" w:color="auto" w:fill="FFFFFF"/>
        <w:adjustRightInd w:val="0"/>
        <w:snapToGrid w:val="0"/>
        <w:spacing w:before="0" w:beforeAutospacing="0" w:after="0" w:afterAutospacing="0" w:line="560" w:lineRule="exact"/>
        <w:ind w:left="640" w:hanging="64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公平竞争审查相关资料经领导审批盖章后，起草科室、营商环境办公室各留一份存档，以备查阅。未形成书面审查结论出台政策措施的，视为未进行公平竞争审查。</w:t>
      </w:r>
    </w:p>
    <w:p>
      <w:pPr>
        <w:pStyle w:val="4"/>
        <w:numPr>
          <w:ilvl w:val="0"/>
          <w:numId w:val="1"/>
        </w:numPr>
        <w:shd w:val="clear" w:color="auto" w:fill="FFFFFF"/>
        <w:adjustRightInd w:val="0"/>
        <w:snapToGrid w:val="0"/>
        <w:spacing w:before="0" w:beforeAutospacing="0" w:after="0" w:afterAutospacing="0" w:line="560" w:lineRule="exact"/>
        <w:ind w:left="640" w:hanging="64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开展公平竞争审查，可以征求专家学者、法律顾问、专业机构的意见，并在书面审查结论中说明有关情况。</w:t>
      </w:r>
      <w:r>
        <w:rPr>
          <w:rFonts w:hint="eastAsia" w:ascii="仿宋_GB2312" w:hAnsi="仿宋_GB2312" w:eastAsia="仿宋_GB2312" w:cs="仿宋_GB2312"/>
          <w:sz w:val="32"/>
          <w:szCs w:val="32"/>
        </w:rPr>
        <w:t>对公平竞争审查中遇到的具体问题，可以向区公平竞争委提出咨询。对存在较大争议或者意见难以协调一致的问题，可以提请区公平竞争委协调。</w:t>
      </w:r>
    </w:p>
    <w:p>
      <w:pPr>
        <w:pStyle w:val="4"/>
        <w:numPr>
          <w:ilvl w:val="0"/>
          <w:numId w:val="1"/>
        </w:numPr>
        <w:shd w:val="clear" w:color="auto" w:fill="FFFFFF"/>
        <w:adjustRightInd w:val="0"/>
        <w:snapToGrid w:val="0"/>
        <w:spacing w:before="0" w:beforeAutospacing="0" w:after="0" w:afterAutospacing="0" w:line="560" w:lineRule="exact"/>
        <w:ind w:left="640" w:hanging="64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开展公平竞争审查，应当以适当方式征求利害关系人</w:t>
      </w:r>
      <w:r>
        <w:rPr>
          <w:rFonts w:hint="eastAsia" w:ascii="仿宋_GB2312" w:hAnsi="仿宋_GB2312" w:eastAsia="仿宋_GB2312" w:cs="仿宋_GB2312"/>
          <w:sz w:val="32"/>
          <w:szCs w:val="32"/>
        </w:rPr>
        <w:t>（指参与相关市场竞争的经营者、上下游经营者、行业协会商会、消费者以及政策措施可能影响其公平参与市场竞争的其他市场主体）</w:t>
      </w:r>
      <w:r>
        <w:rPr>
          <w:rFonts w:hint="eastAsia" w:ascii="仿宋_GB2312" w:hAnsi="华文仿宋" w:eastAsia="仿宋_GB2312" w:cs="Tahoma"/>
          <w:color w:val="000000"/>
          <w:sz w:val="32"/>
          <w:szCs w:val="32"/>
        </w:rPr>
        <w:t>意见，或者通过政府部门网站、政务新媒体等便于社会公众知晓的方式公开征求意见，并在书面审查结论中说明征求意见情况。</w:t>
      </w:r>
    </w:p>
    <w:p>
      <w:pPr>
        <w:pStyle w:val="4"/>
        <w:numPr>
          <w:ilvl w:val="0"/>
          <w:numId w:val="1"/>
        </w:numPr>
        <w:shd w:val="clear" w:color="auto" w:fill="FFFFFF"/>
        <w:adjustRightInd w:val="0"/>
        <w:snapToGrid w:val="0"/>
        <w:spacing w:before="0" w:beforeAutospacing="0" w:after="0" w:afterAutospacing="0" w:line="560" w:lineRule="exact"/>
        <w:ind w:left="640" w:hanging="64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在起草政策措施的其他环节已征求过利害关系人意见或者向社会公开征求意见的，可以不再专门就公平竞争审查问题征求意见。对出台前需要保密或者有正当理由需要限定知悉范围的政策措施，应按照相关法律法规处理。</w:t>
      </w:r>
    </w:p>
    <w:p>
      <w:pPr>
        <w:pStyle w:val="4"/>
        <w:numPr>
          <w:ilvl w:val="0"/>
          <w:numId w:val="1"/>
        </w:numPr>
        <w:shd w:val="clear" w:color="auto" w:fill="FFFFFF"/>
        <w:adjustRightInd w:val="0"/>
        <w:snapToGrid w:val="0"/>
        <w:spacing w:before="0" w:beforeAutospacing="0" w:after="0" w:afterAutospacing="0" w:line="560" w:lineRule="exact"/>
        <w:ind w:left="640" w:hanging="640"/>
        <w:jc w:val="both"/>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需要上区府常务会的政策措施，应根据区政府三级把关制度要求，在完成本单位公平竞争审查后，函请区公平竞争委办公室进行专业会审，并提交相关材料（附件3）。</w:t>
      </w:r>
    </w:p>
    <w:p>
      <w:pPr>
        <w:pStyle w:val="4"/>
        <w:shd w:val="clear" w:color="auto" w:fill="FFFFFF"/>
        <w:adjustRightInd w:val="0"/>
        <w:snapToGrid w:val="0"/>
        <w:spacing w:before="0" w:beforeAutospacing="0" w:after="0" w:afterAutospacing="0" w:line="560" w:lineRule="exact"/>
        <w:ind w:firstLine="640" w:firstLineChars="200"/>
        <w:rPr>
          <w:rFonts w:ascii="黑体" w:hAnsi="黑体" w:eastAsia="黑体" w:cs="Tahoma"/>
          <w:color w:val="000000"/>
          <w:sz w:val="32"/>
          <w:szCs w:val="32"/>
          <w:highlight w:val="yellow"/>
        </w:rPr>
      </w:pPr>
      <w:r>
        <w:rPr>
          <w:rFonts w:hint="eastAsia" w:ascii="黑体" w:hAnsi="黑体" w:eastAsia="黑体" w:cs="Tahoma"/>
          <w:color w:val="000000"/>
          <w:sz w:val="32"/>
          <w:szCs w:val="32"/>
        </w:rPr>
        <w:t>五、审查标准</w:t>
      </w:r>
    </w:p>
    <w:p>
      <w:p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初审科室和复审科室进行公平竞争审查时，应当严格对照“国市监反垄规2号文”规定进行审查，标准如下：</w:t>
      </w:r>
    </w:p>
    <w:p>
      <w:pPr>
        <w:numPr>
          <w:ilvl w:val="0"/>
          <w:numId w:val="2"/>
        </w:numPr>
        <w:spacing w:line="560" w:lineRule="exact"/>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市场准入和退出标准</w:t>
      </w:r>
    </w:p>
    <w:p>
      <w:pPr>
        <w:numPr>
          <w:ilvl w:val="0"/>
          <w:numId w:val="3"/>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不得设置不合理或者歧视性的准入和退出条件；</w:t>
      </w:r>
    </w:p>
    <w:p>
      <w:pPr>
        <w:numPr>
          <w:ilvl w:val="0"/>
          <w:numId w:val="3"/>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未经公平竞争不得授予经营者特许经营权；</w:t>
      </w:r>
    </w:p>
    <w:p>
      <w:pPr>
        <w:numPr>
          <w:ilvl w:val="0"/>
          <w:numId w:val="3"/>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不得限定经营、购买、使用特定经营者提供的商品和服务；</w:t>
      </w:r>
    </w:p>
    <w:p>
      <w:pPr>
        <w:numPr>
          <w:ilvl w:val="0"/>
          <w:numId w:val="3"/>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不得设置没有法律、行政法规或者国务院规定依据的审批或者具有行政审批性质的事前备案程序；</w:t>
      </w:r>
    </w:p>
    <w:p>
      <w:pPr>
        <w:numPr>
          <w:ilvl w:val="0"/>
          <w:numId w:val="3"/>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对市场准入负面清单以外的行业、领域、业务等设置审批程序，主要指没有法律、行政法规或者国务院规定依据，采取禁止进入、限制市场主体资质、限制股权比例、限制经营范围和商业模式等方式，限制或者变相限制市场准入。</w:t>
      </w:r>
    </w:p>
    <w:p>
      <w:pPr>
        <w:numPr>
          <w:ilvl w:val="0"/>
          <w:numId w:val="2"/>
        </w:numPr>
        <w:spacing w:line="560" w:lineRule="exact"/>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商品和要素自由流动标准</w:t>
      </w:r>
    </w:p>
    <w:p>
      <w:pPr>
        <w:numPr>
          <w:ilvl w:val="0"/>
          <w:numId w:val="4"/>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不得对外地和进口商品、服务实行歧视性价格和歧视性补贴政策；</w:t>
      </w:r>
    </w:p>
    <w:p>
      <w:pPr>
        <w:numPr>
          <w:ilvl w:val="0"/>
          <w:numId w:val="4"/>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不得限制外地和进口商品、服务进入本地市场或者阻碍本地商品运出、服务输出；</w:t>
      </w:r>
    </w:p>
    <w:p>
      <w:pPr>
        <w:numPr>
          <w:ilvl w:val="0"/>
          <w:numId w:val="4"/>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不得排斥或者限制外地经营者参加本地招标投标活动；</w:t>
      </w:r>
    </w:p>
    <w:p>
      <w:pPr>
        <w:numPr>
          <w:ilvl w:val="0"/>
          <w:numId w:val="4"/>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不得排斥、限制或者强制外地经营者在本地投资或者设立分支机构；</w:t>
      </w:r>
    </w:p>
    <w:p>
      <w:pPr>
        <w:numPr>
          <w:ilvl w:val="0"/>
          <w:numId w:val="4"/>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不得对外地经营者在本地的投资或者设立的分支机构实行歧视性待遇，侵害其合法权益。</w:t>
      </w:r>
    </w:p>
    <w:p>
      <w:pPr>
        <w:numPr>
          <w:ilvl w:val="0"/>
          <w:numId w:val="2"/>
        </w:numPr>
        <w:spacing w:line="560" w:lineRule="exact"/>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影响生产经营成本标准</w:t>
      </w:r>
    </w:p>
    <w:p>
      <w:pPr>
        <w:numPr>
          <w:ilvl w:val="0"/>
          <w:numId w:val="5"/>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不得违法给予特定经营者优惠政策；</w:t>
      </w:r>
    </w:p>
    <w:p>
      <w:pPr>
        <w:numPr>
          <w:ilvl w:val="0"/>
          <w:numId w:val="5"/>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安排财政支出一般不得与特定经营者缴纳的税收或非税收入挂钩；</w:t>
      </w:r>
    </w:p>
    <w:p>
      <w:pPr>
        <w:numPr>
          <w:ilvl w:val="0"/>
          <w:numId w:val="5"/>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不得违法违规减免或者缓征特定经营者应当缴纳的社会保险费用；</w:t>
      </w:r>
    </w:p>
    <w:p>
      <w:pPr>
        <w:numPr>
          <w:ilvl w:val="0"/>
          <w:numId w:val="5"/>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不得在法律规定之外要求经营者提供或者扣留经营者各类保证金。</w:t>
      </w:r>
    </w:p>
    <w:p>
      <w:pPr>
        <w:numPr>
          <w:ilvl w:val="0"/>
          <w:numId w:val="2"/>
        </w:numPr>
        <w:spacing w:line="560" w:lineRule="exact"/>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影响生产经营行为标准</w:t>
      </w:r>
    </w:p>
    <w:p>
      <w:pPr>
        <w:numPr>
          <w:ilvl w:val="0"/>
          <w:numId w:val="6"/>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不得强制经营者从事《中华人民共和国反垄断法》禁止的垄断行为；</w:t>
      </w:r>
    </w:p>
    <w:p>
      <w:pPr>
        <w:numPr>
          <w:ilvl w:val="0"/>
          <w:numId w:val="6"/>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不得违法披露或者违法要求经营者披露生产经营敏感信息，为经营者实施垄断行为提供便利条件；</w:t>
      </w:r>
    </w:p>
    <w:p>
      <w:pPr>
        <w:numPr>
          <w:ilvl w:val="0"/>
          <w:numId w:val="6"/>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不得超越定价权限进行政府定价；</w:t>
      </w:r>
    </w:p>
    <w:p>
      <w:pPr>
        <w:numPr>
          <w:ilvl w:val="0"/>
          <w:numId w:val="6"/>
        </w:num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不得违法干预实行市场调节价的商品和服务的价格水平。</w:t>
      </w:r>
    </w:p>
    <w:p>
      <w:p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没有法律、法规依据，各部门不得制定减损市场主体合法权益或者增加其义务的政策措施；不得违反《中华人民共和国反垄断法》，制定含有排除、限制竞争内容的政策措施。</w:t>
      </w:r>
    </w:p>
    <w:p>
      <w:pPr>
        <w:spacing w:line="560" w:lineRule="exact"/>
        <w:ind w:firstLine="640" w:firstLineChars="200"/>
      </w:pPr>
      <w:r>
        <w:rPr>
          <w:rFonts w:hint="eastAsia" w:ascii="仿宋_GB2312" w:hAnsi="华文仿宋" w:eastAsia="仿宋_GB2312" w:cs="Tahoma"/>
          <w:color w:val="000000"/>
          <w:sz w:val="32"/>
          <w:szCs w:val="32"/>
        </w:rPr>
        <w:t>以上细化标准详见“国市监反垄规2号文”。</w:t>
      </w:r>
    </w:p>
    <w:p>
      <w:pPr>
        <w:spacing w:line="560" w:lineRule="exact"/>
        <w:ind w:firstLine="640" w:firstLineChars="200"/>
        <w:rPr>
          <w:rFonts w:ascii="黑体" w:hAnsi="黑体" w:eastAsia="黑体" w:cs="Tahoma"/>
          <w:color w:val="000000"/>
          <w:kern w:val="0"/>
          <w:sz w:val="32"/>
          <w:szCs w:val="32"/>
        </w:rPr>
      </w:pPr>
      <w:r>
        <w:rPr>
          <w:rFonts w:hint="eastAsia" w:ascii="黑体" w:hAnsi="黑体" w:eastAsia="黑体" w:cs="Tahoma"/>
          <w:color w:val="000000"/>
          <w:kern w:val="0"/>
          <w:sz w:val="32"/>
          <w:szCs w:val="32"/>
        </w:rPr>
        <w:t>六、例外规定</w:t>
      </w:r>
    </w:p>
    <w:p>
      <w:p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对政策措施进行公平竞争审查时，认为虽然具有一定限制竞争的效果，但属于国务院34号文规定的为维护国家经济安全、文化安全、科技安全或者涉及国防建设，为实现扶贫开发、救灾救助等社会保障目的，为实现节约能源资源、保护生态环境、维护公共卫生健康安全等社会公共利益以及法律、行政法规规定的其他情形的，可以出台实施，除法律、行政法规规定的例外情形外，属于前述其他情形的应当在同时符合以下条件的情况下可以实施：</w:t>
      </w:r>
    </w:p>
    <w:p>
      <w:pPr>
        <w:numPr>
          <w:ilvl w:val="0"/>
          <w:numId w:val="7"/>
        </w:numPr>
        <w:spacing w:line="560" w:lineRule="exact"/>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对实施政策目的不可或缺，即为实现相关目标必须实施此项政策措施；</w:t>
      </w:r>
    </w:p>
    <w:p>
      <w:pPr>
        <w:numPr>
          <w:ilvl w:val="0"/>
          <w:numId w:val="7"/>
        </w:numPr>
        <w:spacing w:line="560" w:lineRule="exact"/>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不会严重排除和限制市场竞争；</w:t>
      </w:r>
    </w:p>
    <w:p>
      <w:pPr>
        <w:numPr>
          <w:ilvl w:val="0"/>
          <w:numId w:val="7"/>
        </w:numPr>
        <w:spacing w:line="560" w:lineRule="exact"/>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明确实施期限。</w:t>
      </w:r>
    </w:p>
    <w:p>
      <w:pPr>
        <w:spacing w:line="560" w:lineRule="exact"/>
        <w:ind w:firstLine="640" w:firstLineChars="200"/>
        <w:rPr>
          <w:rFonts w:ascii="仿宋_GB2312" w:hAnsi="华文仿宋" w:eastAsia="仿宋_GB2312" w:cs="Tahoma"/>
          <w:color w:val="000000"/>
          <w:sz w:val="32"/>
          <w:szCs w:val="32"/>
        </w:rPr>
      </w:pPr>
      <w:r>
        <w:rPr>
          <w:rFonts w:hint="eastAsia" w:ascii="仿宋_GB2312" w:hAnsi="华文仿宋" w:eastAsia="仿宋_GB2312" w:cs="Tahoma"/>
          <w:color w:val="000000"/>
          <w:sz w:val="32"/>
          <w:szCs w:val="32"/>
        </w:rPr>
        <w:t>在书面审查结论中应当说明政策措施是否适用例外规定。认为适用例外规定的，应当对符合适用例外规定的情形和条件进行详细说明。</w:t>
      </w:r>
    </w:p>
    <w:p>
      <w:pPr>
        <w:pStyle w:val="2"/>
        <w:spacing w:line="560" w:lineRule="exact"/>
        <w:ind w:left="420" w:firstLine="640" w:firstLineChars="200"/>
        <w:rPr>
          <w:rFonts w:ascii="仿宋_GB2312" w:hAnsi="华文仿宋" w:eastAsia="仿宋_GB2312" w:cs="Tahoma"/>
          <w:b/>
          <w:color w:val="000000"/>
          <w:sz w:val="32"/>
          <w:szCs w:val="32"/>
        </w:rPr>
      </w:pPr>
      <w:r>
        <w:rPr>
          <w:rFonts w:hint="eastAsia" w:ascii="仿宋_GB2312" w:hAnsi="华文仿宋" w:eastAsia="仿宋_GB2312" w:cs="Tahoma"/>
          <w:color w:val="000000"/>
          <w:sz w:val="32"/>
          <w:szCs w:val="32"/>
        </w:rPr>
        <w:t>应当逐年评估适用例外规定的政策措施的实施效果，形成书面评估报告。实施期限到期或者未达到预期效果的政策措施，应当及时停止执行或者进行调整。</w:t>
      </w:r>
    </w:p>
    <w:p>
      <w:pPr>
        <w:pStyle w:val="2"/>
        <w:spacing w:line="560" w:lineRule="exact"/>
        <w:ind w:left="420"/>
        <w:rPr>
          <w:rFonts w:ascii="仿宋_GB2312" w:hAnsi="华文仿宋" w:eastAsia="仿宋_GB2312" w:cs="Tahoma"/>
          <w:b/>
          <w:color w:val="000000"/>
          <w:sz w:val="32"/>
          <w:szCs w:val="32"/>
        </w:rPr>
      </w:pPr>
    </w:p>
    <w:p>
      <w:p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附件1：公平竞争审查基本流程</w:t>
      </w:r>
    </w:p>
    <w:p>
      <w:p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附件2：公平竞争审查表（模板）</w:t>
      </w:r>
    </w:p>
    <w:p>
      <w:pPr>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附件3：公平竞争审查工作咨询函（模板）</w:t>
      </w:r>
    </w:p>
    <w:p>
      <w:pPr>
        <w:spacing w:line="560" w:lineRule="exact"/>
        <w:rPr>
          <w:rFonts w:ascii="仿宋_GB2312" w:hAnsi="仿宋_GB2312" w:eastAsia="仿宋_GB2312" w:cs="仿宋_GB2312"/>
          <w:sz w:val="32"/>
          <w:szCs w:val="32"/>
        </w:rPr>
      </w:pPr>
    </w:p>
    <w:p>
      <w:pPr>
        <w:spacing w:line="560" w:lineRule="exact"/>
        <w:ind w:firstLine="65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凌云路街道办事处</w:t>
      </w:r>
    </w:p>
    <w:p>
      <w:pPr>
        <w:spacing w:line="560" w:lineRule="exact"/>
        <w:ind w:firstLine="65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2023年10月7日</w:t>
      </w:r>
    </w:p>
    <w:p>
      <w:pPr>
        <w:widowControl/>
        <w:jc w:val="left"/>
        <w:rPr>
          <w:rFonts w:ascii="仿宋_GB2312" w:hAnsi="仿宋_GB2312" w:eastAsia="仿宋_GB2312" w:cs="仿宋_GB2312"/>
          <w:sz w:val="32"/>
          <w:szCs w:val="32"/>
        </w:rPr>
      </w:pPr>
      <w:r>
        <w:rPr>
          <w:rFonts w:ascii="仿宋_GB2312" w:hAnsi="仿宋_GB2312" w:eastAsia="仿宋_GB2312" w:cs="仿宋_GB2312"/>
          <w:sz w:val="32"/>
          <w:szCs w:val="32"/>
        </w:rPr>
        <w:br w:type="page"/>
      </w:r>
    </w:p>
    <w:p>
      <w:pPr>
        <w:rPr>
          <w:rFonts w:ascii="黑体" w:hAnsi="黑体" w:eastAsia="黑体" w:cs="黑体"/>
          <w:sz w:val="32"/>
          <w:szCs w:val="32"/>
        </w:rPr>
      </w:pPr>
      <w:r>
        <w:rPr>
          <w:rFonts w:hint="eastAsia" w:ascii="黑体" w:hAnsi="黑体" w:eastAsia="黑体" w:cs="黑体"/>
          <w:sz w:val="32"/>
          <w:szCs w:val="32"/>
        </w:rPr>
        <w:t>附件1</w:t>
      </w:r>
    </w:p>
    <w:p>
      <w:pPr>
        <w:widowControl/>
        <w:jc w:val="left"/>
        <w:rPr>
          <w:rFonts w:ascii="黑体" w:hAnsi="黑体" w:eastAsia="黑体" w:cs="黑体"/>
          <w:sz w:val="32"/>
          <w:szCs w:val="32"/>
        </w:rPr>
      </w:pPr>
      <w:r>
        <w:drawing>
          <wp:anchor distT="0" distB="0" distL="114300" distR="114300" simplePos="0" relativeHeight="251659264" behindDoc="0" locked="0" layoutInCell="1" allowOverlap="1">
            <wp:simplePos x="0" y="0"/>
            <wp:positionH relativeFrom="column">
              <wp:posOffset>-198120</wp:posOffset>
            </wp:positionH>
            <wp:positionV relativeFrom="paragraph">
              <wp:posOffset>307975</wp:posOffset>
            </wp:positionV>
            <wp:extent cx="5734050" cy="5937885"/>
            <wp:effectExtent l="0" t="0" r="11430" b="5715"/>
            <wp:wrapSquare wrapText="bothSides"/>
            <wp:docPr id="1156965679" name="图片 1156965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965679" name="图片 1156965679"/>
                    <pic:cNvPicPr>
                      <a:picLocks noChangeAspect="1"/>
                    </pic:cNvPicPr>
                  </pic:nvPicPr>
                  <pic:blipFill>
                    <a:blip r:embed="rId6"/>
                    <a:stretch>
                      <a:fillRect/>
                    </a:stretch>
                  </pic:blipFill>
                  <pic:spPr>
                    <a:xfrm>
                      <a:off x="0" y="0"/>
                      <a:ext cx="5734050" cy="5937885"/>
                    </a:xfrm>
                    <a:prstGeom prst="rect">
                      <a:avLst/>
                    </a:prstGeom>
                  </pic:spPr>
                </pic:pic>
              </a:graphicData>
            </a:graphic>
          </wp:anchor>
        </w:drawing>
      </w:r>
      <w:r>
        <w:rPr>
          <w:rFonts w:ascii="黑体" w:hAnsi="黑体" w:eastAsia="黑体" w:cs="黑体"/>
          <w:sz w:val="32"/>
          <w:szCs w:val="32"/>
        </w:rPr>
        <w:br w:type="page"/>
      </w:r>
    </w:p>
    <w:p>
      <w:pPr>
        <w:rPr>
          <w:rFonts w:ascii="黑体" w:hAnsi="黑体" w:eastAsia="黑体" w:cs="黑体"/>
          <w:sz w:val="32"/>
          <w:szCs w:val="32"/>
        </w:rPr>
      </w:pPr>
      <w:r>
        <w:rPr>
          <w:rFonts w:hint="eastAsia" w:ascii="黑体" w:hAnsi="黑体" w:eastAsia="黑体" w:cs="黑体"/>
          <w:sz w:val="32"/>
          <w:szCs w:val="32"/>
        </w:rPr>
        <w:t>附件2</w:t>
      </w:r>
    </w:p>
    <w:p>
      <w:pPr>
        <w:pStyle w:val="2"/>
        <w:ind w:left="420"/>
      </w:pPr>
    </w:p>
    <w:p>
      <w:pPr>
        <w:jc w:val="center"/>
        <w:rPr>
          <w:rFonts w:ascii="华文中宋" w:hAnsi="华文中宋" w:eastAsia="方正小标宋简体" w:cs="华文中宋"/>
          <w:sz w:val="44"/>
          <w:szCs w:val="44"/>
        </w:rPr>
      </w:pPr>
      <w:r>
        <w:rPr>
          <w:rFonts w:hint="eastAsia" w:ascii="方正小标宋简体" w:hAnsi="方正小标宋简体" w:eastAsia="方正小标宋简体" w:cs="方正小标宋简体"/>
          <w:sz w:val="44"/>
          <w:szCs w:val="44"/>
        </w:rPr>
        <w:t>公平竞争审查表（模板）</w:t>
      </w:r>
    </w:p>
    <w:p>
      <w:pPr>
        <w:bidi/>
        <w:spacing w:line="253" w:lineRule="exact"/>
        <w:rPr>
          <w:sz w:val="20"/>
          <w:szCs w:val="20"/>
        </w:rPr>
      </w:pPr>
    </w:p>
    <w:p>
      <w:pPr>
        <w:tabs>
          <w:tab w:val="left" w:pos="7920"/>
          <w:tab w:val="left" w:pos="8520"/>
        </w:tabs>
        <w:spacing w:line="343" w:lineRule="exact"/>
        <w:ind w:left="7342"/>
        <w:jc w:val="left"/>
        <w:rPr>
          <w:rFonts w:ascii="黑体" w:hAnsi="黑体" w:eastAsia="黑体" w:cs="黑体"/>
          <w:sz w:val="30"/>
          <w:szCs w:val="30"/>
          <w:lang w:val="en"/>
        </w:rPr>
      </w:pPr>
      <w:r>
        <w:rPr>
          <w:rFonts w:ascii="黑体" w:hAnsi="黑体" w:eastAsia="黑体" w:cs="黑体"/>
          <w:sz w:val="30"/>
          <w:szCs w:val="30"/>
        </w:rPr>
        <w:t>年</w:t>
      </w:r>
      <w:r>
        <w:rPr>
          <w:rFonts w:ascii="黑体" w:hAnsi="黑体" w:eastAsia="黑体" w:cs="黑体"/>
          <w:sz w:val="30"/>
          <w:szCs w:val="30"/>
        </w:rPr>
        <w:tab/>
      </w:r>
      <w:r>
        <w:rPr>
          <w:rFonts w:ascii="黑体" w:hAnsi="黑体" w:eastAsia="黑体" w:cs="黑体"/>
          <w:sz w:val="30"/>
          <w:szCs w:val="30"/>
        </w:rPr>
        <w:t>月</w:t>
      </w:r>
      <w:r>
        <w:rPr>
          <w:rFonts w:ascii="黑体" w:hAnsi="黑体" w:eastAsia="黑体" w:cs="黑体"/>
          <w:sz w:val="30"/>
          <w:szCs w:val="30"/>
        </w:rPr>
        <w:tab/>
      </w:r>
      <w:r>
        <w:rPr>
          <w:rFonts w:ascii="黑体" w:hAnsi="黑体" w:eastAsia="黑体" w:cs="黑体"/>
          <w:sz w:val="30"/>
          <w:szCs w:val="30"/>
        </w:rPr>
        <w:t>日</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418"/>
        <w:gridCol w:w="2608"/>
        <w:gridCol w:w="1134"/>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政策措施</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名称</w:t>
            </w:r>
          </w:p>
        </w:tc>
        <w:tc>
          <w:tcPr>
            <w:tcW w:w="7428" w:type="dxa"/>
            <w:gridSpan w:val="4"/>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涉及行业</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领域</w:t>
            </w:r>
          </w:p>
        </w:tc>
        <w:tc>
          <w:tcPr>
            <w:tcW w:w="7428" w:type="dxa"/>
            <w:gridSpan w:val="4"/>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性质</w:t>
            </w:r>
          </w:p>
        </w:tc>
        <w:tc>
          <w:tcPr>
            <w:tcW w:w="7428" w:type="dxa"/>
            <w:gridSpan w:val="4"/>
            <w:vAlign w:val="center"/>
          </w:tcPr>
          <w:p>
            <w:pPr>
              <w:tabs>
                <w:tab w:val="left" w:pos="790"/>
                <w:tab w:val="left" w:pos="1264"/>
              </w:tabs>
              <w:overflowPunct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规范性文件□</w:t>
            </w:r>
            <w:r>
              <w:rPr>
                <w:rFonts w:hint="eastAsia" w:ascii="仿宋_GB2312" w:hAnsi="仿宋_GB2312" w:eastAsia="仿宋_GB2312" w:cs="仿宋_GB2312"/>
                <w:sz w:val="28"/>
                <w:szCs w:val="28"/>
                <w:lang w:val="e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
              </w:rPr>
              <w:t xml:space="preserve"> </w:t>
            </w:r>
            <w:r>
              <w:rPr>
                <w:rFonts w:hint="eastAsia" w:ascii="仿宋_GB2312" w:hAnsi="仿宋_GB2312" w:eastAsia="仿宋_GB2312" w:cs="仿宋_GB2312"/>
                <w:sz w:val="28"/>
                <w:szCs w:val="28"/>
              </w:rPr>
              <w:t>“一事一议”文件□   其他政策措施□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417" w:type="dxa"/>
            <w:vMerge w:val="restart"/>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初审科室</w:t>
            </w:r>
          </w:p>
        </w:tc>
        <w:tc>
          <w:tcPr>
            <w:tcW w:w="141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名　称</w:t>
            </w:r>
          </w:p>
        </w:tc>
        <w:tc>
          <w:tcPr>
            <w:tcW w:w="6010" w:type="dxa"/>
            <w:gridSpan w:val="3"/>
            <w:vAlign w:val="center"/>
          </w:tcPr>
          <w:p>
            <w:pPr>
              <w:tabs>
                <w:tab w:val="left" w:pos="790"/>
                <w:tab w:val="left" w:pos="1264"/>
              </w:tabs>
              <w:overflowPunct w:val="0"/>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417" w:type="dxa"/>
            <w:vMerge w:val="continue"/>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c>
          <w:tcPr>
            <w:tcW w:w="141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260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c>
          <w:tcPr>
            <w:tcW w:w="1134"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电　话</w:t>
            </w:r>
          </w:p>
        </w:tc>
        <w:tc>
          <w:tcPr>
            <w:tcW w:w="226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417" w:type="dxa"/>
            <w:vMerge w:val="restart"/>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审查科室</w:t>
            </w:r>
          </w:p>
        </w:tc>
        <w:tc>
          <w:tcPr>
            <w:tcW w:w="141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名　称</w:t>
            </w:r>
          </w:p>
        </w:tc>
        <w:tc>
          <w:tcPr>
            <w:tcW w:w="6010" w:type="dxa"/>
            <w:gridSpan w:val="3"/>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417" w:type="dxa"/>
            <w:vMerge w:val="continue"/>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c>
          <w:tcPr>
            <w:tcW w:w="141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260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c>
          <w:tcPr>
            <w:tcW w:w="1134"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电　话</w:t>
            </w:r>
          </w:p>
        </w:tc>
        <w:tc>
          <w:tcPr>
            <w:tcW w:w="226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417" w:type="dxa"/>
            <w:vMerge w:val="restart"/>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征求</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意见</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情况</w:t>
            </w:r>
          </w:p>
        </w:tc>
        <w:tc>
          <w:tcPr>
            <w:tcW w:w="7428" w:type="dxa"/>
            <w:gridSpan w:val="4"/>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征求利害关系人意见 □　　向社会公开征求意见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8" w:hRule="atLeast"/>
          <w:jc w:val="center"/>
        </w:trPr>
        <w:tc>
          <w:tcPr>
            <w:tcW w:w="1417" w:type="dxa"/>
            <w:vMerge w:val="continue"/>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c>
          <w:tcPr>
            <w:tcW w:w="7428" w:type="dxa"/>
            <w:gridSpan w:val="4"/>
          </w:tcPr>
          <w:p>
            <w:pPr>
              <w:tabs>
                <w:tab w:val="left" w:pos="790"/>
                <w:tab w:val="left" w:pos="1264"/>
              </w:tabs>
              <w:overflowPunct w:val="0"/>
              <w:adjustRightInd w:val="0"/>
              <w:snapToGrid w:val="0"/>
              <w:spacing w:before="120"/>
              <w:rPr>
                <w:rFonts w:ascii="仿宋_GB2312" w:hAnsi="仿宋_GB2312" w:eastAsia="仿宋_GB2312" w:cs="仿宋_GB2312"/>
                <w:sz w:val="28"/>
                <w:szCs w:val="28"/>
              </w:rPr>
            </w:pPr>
            <w:r>
              <w:rPr>
                <w:rFonts w:hint="eastAsia" w:ascii="仿宋_GB2312" w:hAnsi="仿宋_GB2312" w:eastAsia="仿宋_GB2312" w:cs="仿宋_GB2312"/>
                <w:sz w:val="28"/>
                <w:szCs w:val="28"/>
              </w:rPr>
              <w:t>具体情况（时间、对象、意见反馈和采纳情况）：</w:t>
            </w: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（可附相关报告）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咨询及</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第三方</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评估情况</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（可选）</w:t>
            </w:r>
          </w:p>
        </w:tc>
        <w:tc>
          <w:tcPr>
            <w:tcW w:w="7428" w:type="dxa"/>
            <w:gridSpan w:val="4"/>
          </w:tcPr>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（可附相关报告）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3" w:hRule="atLeas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审查结论</w:t>
            </w:r>
          </w:p>
        </w:tc>
        <w:tc>
          <w:tcPr>
            <w:tcW w:w="7428" w:type="dxa"/>
            <w:gridSpan w:val="4"/>
          </w:tcPr>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jc w:val="right"/>
              <w:rPr>
                <w:rFonts w:ascii="仿宋_GB2312" w:hAnsi="仿宋_GB2312" w:eastAsia="仿宋_GB2312" w:cs="仿宋_GB2312"/>
                <w:sz w:val="28"/>
                <w:szCs w:val="28"/>
              </w:rPr>
            </w:pPr>
          </w:p>
          <w:p>
            <w:pPr>
              <w:tabs>
                <w:tab w:val="left" w:pos="790"/>
                <w:tab w:val="left" w:pos="1264"/>
              </w:tabs>
              <w:overflowPunct w:val="0"/>
              <w:adjustRightInd w:val="0"/>
              <w:snapToGrid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（可附相关报告）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 w:type="dxa"/>
            <w:vMerge w:val="restart"/>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适 用 例外 规 定</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（在违反相关标准时填写）</w:t>
            </w:r>
          </w:p>
        </w:tc>
        <w:tc>
          <w:tcPr>
            <w:tcW w:w="7428" w:type="dxa"/>
            <w:gridSpan w:val="4"/>
            <w:vAlign w:val="center"/>
          </w:tcPr>
          <w:p>
            <w:pPr>
              <w:tabs>
                <w:tab w:val="left" w:pos="790"/>
                <w:tab w:val="left" w:pos="1264"/>
              </w:tabs>
              <w:overflowPunct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3" w:hRule="atLeast"/>
          <w:jc w:val="center"/>
        </w:trPr>
        <w:tc>
          <w:tcPr>
            <w:tcW w:w="1417" w:type="dxa"/>
            <w:vMerge w:val="continue"/>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c>
          <w:tcPr>
            <w:tcW w:w="1418"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选择“是”时详细说明理由</w:t>
            </w:r>
          </w:p>
        </w:tc>
        <w:tc>
          <w:tcPr>
            <w:tcW w:w="6010" w:type="dxa"/>
            <w:gridSpan w:val="3"/>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1" w:hRule="exac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其他需要说 明 的</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情　　况</w:t>
            </w:r>
          </w:p>
        </w:tc>
        <w:tc>
          <w:tcPr>
            <w:tcW w:w="7428" w:type="dxa"/>
            <w:gridSpan w:val="4"/>
          </w:tcPr>
          <w:p>
            <w:pPr>
              <w:tabs>
                <w:tab w:val="left" w:pos="790"/>
                <w:tab w:val="left" w:pos="1264"/>
              </w:tabs>
              <w:overflowPunct w:val="0"/>
              <w:adjustRightInd w:val="0"/>
              <w:snapToGrid w:val="0"/>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exac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初审科室</w:t>
            </w:r>
          </w:p>
          <w:p>
            <w:pPr>
              <w:tabs>
                <w:tab w:val="left" w:pos="790"/>
                <w:tab w:val="left" w:pos="1264"/>
              </w:tabs>
              <w:overflowPunct w:val="0"/>
              <w:adjustRightInd w:val="0"/>
              <w:snapToGrid w:val="0"/>
              <w:ind w:left="-57" w:right="-57"/>
              <w:jc w:val="center"/>
              <w:rPr>
                <w:rFonts w:ascii="仿宋_GB2312" w:hAnsi="仿宋_GB2312" w:eastAsia="仿宋_GB2312" w:cs="仿宋_GB2312"/>
                <w:spacing w:val="-12"/>
                <w:sz w:val="28"/>
                <w:szCs w:val="28"/>
              </w:rPr>
            </w:pPr>
            <w:r>
              <w:rPr>
                <w:rFonts w:hint="eastAsia" w:ascii="仿宋_GB2312" w:hAnsi="仿宋_GB2312" w:eastAsia="仿宋_GB2312" w:cs="仿宋_GB2312"/>
                <w:spacing w:val="-12"/>
                <w:sz w:val="28"/>
                <w:szCs w:val="28"/>
              </w:rPr>
              <w:t>主要负责人</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意　　见</w:t>
            </w:r>
          </w:p>
        </w:tc>
        <w:tc>
          <w:tcPr>
            <w:tcW w:w="7428" w:type="dxa"/>
            <w:gridSpan w:val="4"/>
          </w:tcPr>
          <w:p>
            <w:pPr>
              <w:tabs>
                <w:tab w:val="left" w:pos="790"/>
                <w:tab w:val="left" w:pos="1264"/>
              </w:tabs>
              <w:overflowPunct w:val="0"/>
              <w:adjustRightInd w:val="0"/>
              <w:snapToGrid w:val="0"/>
              <w:spacing w:line="480" w:lineRule="exact"/>
              <w:rPr>
                <w:rFonts w:ascii="仿宋_GB2312" w:hAnsi="仿宋_GB2312" w:eastAsia="仿宋_GB2312" w:cs="仿宋_GB2312"/>
                <w:sz w:val="28"/>
                <w:szCs w:val="28"/>
              </w:rPr>
            </w:pPr>
          </w:p>
          <w:p>
            <w:pPr>
              <w:tabs>
                <w:tab w:val="left" w:pos="790"/>
                <w:tab w:val="left" w:pos="1264"/>
              </w:tabs>
              <w:overflowPunct w:val="0"/>
              <w:adjustRightInd w:val="0"/>
              <w:snapToGrid w:val="0"/>
              <w:spacing w:line="480" w:lineRule="exact"/>
              <w:rPr>
                <w:rFonts w:ascii="仿宋_GB2312" w:hAnsi="仿宋_GB2312" w:eastAsia="仿宋_GB2312" w:cs="仿宋_GB2312"/>
                <w:sz w:val="28"/>
                <w:szCs w:val="28"/>
              </w:rPr>
            </w:pPr>
          </w:p>
          <w:p>
            <w:pPr>
              <w:tabs>
                <w:tab w:val="left" w:pos="790"/>
                <w:tab w:val="left" w:pos="1264"/>
              </w:tabs>
              <w:overflowPunct w:val="0"/>
              <w:adjustRightInd w:val="0"/>
              <w:snapToGrid w:val="0"/>
              <w:spacing w:line="480" w:lineRule="exact"/>
              <w:rPr>
                <w:rFonts w:ascii="仿宋_GB2312" w:hAnsi="仿宋_GB2312" w:eastAsia="仿宋_GB2312" w:cs="仿宋_GB2312"/>
                <w:sz w:val="28"/>
                <w:szCs w:val="28"/>
              </w:rPr>
            </w:pPr>
          </w:p>
          <w:p>
            <w:pPr>
              <w:tabs>
                <w:tab w:val="left" w:pos="790"/>
                <w:tab w:val="left" w:pos="1264"/>
              </w:tabs>
              <w:overflowPunct w:val="0"/>
              <w:adjustRightInd w:val="0"/>
              <w:snapToGrid w:val="0"/>
              <w:spacing w:line="480" w:lineRule="exact"/>
              <w:ind w:firstLine="1365"/>
              <w:rPr>
                <w:rFonts w:ascii="仿宋_GB2312" w:hAnsi="仿宋_GB2312" w:eastAsia="仿宋_GB2312" w:cs="仿宋_GB2312"/>
                <w:sz w:val="28"/>
                <w:szCs w:val="28"/>
              </w:rPr>
            </w:pPr>
            <w:r>
              <w:rPr>
                <w:rFonts w:hint="eastAsia" w:ascii="仿宋_GB2312" w:hAnsi="仿宋_GB2312" w:eastAsia="仿宋_GB2312" w:cs="仿宋_GB2312"/>
                <w:sz w:val="28"/>
                <w:szCs w:val="28"/>
              </w:rPr>
              <w:t>签字：　　　　　　　　日期：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exact"/>
          <w:jc w:val="center"/>
        </w:trPr>
        <w:tc>
          <w:tcPr>
            <w:tcW w:w="1417" w:type="dxa"/>
            <w:vAlign w:val="center"/>
          </w:tcPr>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审查科室</w:t>
            </w:r>
          </w:p>
          <w:p>
            <w:pPr>
              <w:tabs>
                <w:tab w:val="left" w:pos="790"/>
                <w:tab w:val="left" w:pos="1264"/>
              </w:tabs>
              <w:overflowPunct w:val="0"/>
              <w:adjustRightInd w:val="0"/>
              <w:snapToGrid w:val="0"/>
              <w:ind w:left="-57" w:right="-57"/>
              <w:jc w:val="center"/>
              <w:rPr>
                <w:rFonts w:ascii="仿宋_GB2312" w:hAnsi="仿宋_GB2312" w:eastAsia="仿宋_GB2312" w:cs="仿宋_GB2312"/>
                <w:spacing w:val="-12"/>
                <w:sz w:val="28"/>
                <w:szCs w:val="28"/>
              </w:rPr>
            </w:pPr>
            <w:r>
              <w:rPr>
                <w:rFonts w:hint="eastAsia" w:ascii="仿宋_GB2312" w:hAnsi="仿宋_GB2312" w:eastAsia="仿宋_GB2312" w:cs="仿宋_GB2312"/>
                <w:spacing w:val="-12"/>
                <w:sz w:val="28"/>
                <w:szCs w:val="28"/>
              </w:rPr>
              <w:t>主要负责人</w:t>
            </w:r>
          </w:p>
          <w:p>
            <w:pPr>
              <w:tabs>
                <w:tab w:val="left" w:pos="790"/>
                <w:tab w:val="left" w:pos="1264"/>
              </w:tabs>
              <w:overflowPunct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意　　见</w:t>
            </w:r>
          </w:p>
        </w:tc>
        <w:tc>
          <w:tcPr>
            <w:tcW w:w="7428" w:type="dxa"/>
            <w:gridSpan w:val="4"/>
          </w:tcPr>
          <w:p>
            <w:pPr>
              <w:tabs>
                <w:tab w:val="left" w:pos="790"/>
                <w:tab w:val="left" w:pos="1264"/>
              </w:tabs>
              <w:overflowPunct w:val="0"/>
              <w:adjustRightInd w:val="0"/>
              <w:snapToGrid w:val="0"/>
              <w:spacing w:line="480" w:lineRule="exact"/>
              <w:rPr>
                <w:rFonts w:ascii="仿宋_GB2312" w:hAnsi="仿宋_GB2312" w:eastAsia="仿宋_GB2312" w:cs="仿宋_GB2312"/>
                <w:sz w:val="28"/>
                <w:szCs w:val="28"/>
              </w:rPr>
            </w:pPr>
          </w:p>
          <w:p>
            <w:pPr>
              <w:pStyle w:val="2"/>
              <w:spacing w:line="480" w:lineRule="exact"/>
              <w:ind w:left="420"/>
            </w:pPr>
          </w:p>
          <w:p>
            <w:pPr>
              <w:tabs>
                <w:tab w:val="left" w:pos="790"/>
                <w:tab w:val="left" w:pos="1264"/>
              </w:tabs>
              <w:overflowPunct w:val="0"/>
              <w:adjustRightInd w:val="0"/>
              <w:snapToGrid w:val="0"/>
              <w:spacing w:line="480" w:lineRule="exact"/>
              <w:rPr>
                <w:rFonts w:ascii="仿宋_GB2312" w:hAnsi="仿宋_GB2312" w:eastAsia="仿宋_GB2312" w:cs="仿宋_GB2312"/>
                <w:sz w:val="28"/>
                <w:szCs w:val="28"/>
              </w:rPr>
            </w:pPr>
          </w:p>
          <w:p>
            <w:pPr>
              <w:tabs>
                <w:tab w:val="left" w:pos="790"/>
                <w:tab w:val="left" w:pos="1264"/>
              </w:tabs>
              <w:overflowPunct w:val="0"/>
              <w:adjustRightInd w:val="0"/>
              <w:snapToGrid w:val="0"/>
              <w:spacing w:line="480" w:lineRule="exact"/>
              <w:ind w:firstLine="1365"/>
              <w:rPr>
                <w:rFonts w:ascii="仿宋_GB2312" w:hAnsi="仿宋_GB2312" w:eastAsia="仿宋_GB2312" w:cs="仿宋_GB2312"/>
                <w:sz w:val="28"/>
                <w:szCs w:val="28"/>
              </w:rPr>
            </w:pPr>
            <w:r>
              <w:rPr>
                <w:rFonts w:hint="eastAsia" w:ascii="仿宋_GB2312" w:hAnsi="仿宋_GB2312" w:eastAsia="仿宋_GB2312" w:cs="仿宋_GB2312"/>
                <w:sz w:val="28"/>
                <w:szCs w:val="28"/>
              </w:rPr>
              <w:t>签字：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1" w:hRule="exact"/>
          <w:jc w:val="center"/>
        </w:trPr>
        <w:tc>
          <w:tcPr>
            <w:tcW w:w="1417" w:type="dxa"/>
            <w:vAlign w:val="center"/>
          </w:tcPr>
          <w:p>
            <w:pPr>
              <w:tabs>
                <w:tab w:val="left" w:pos="790"/>
                <w:tab w:val="left" w:pos="1264"/>
              </w:tabs>
              <w:overflowPunct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分　　管</w:t>
            </w:r>
          </w:p>
          <w:p>
            <w:pPr>
              <w:tabs>
                <w:tab w:val="left" w:pos="790"/>
                <w:tab w:val="left" w:pos="1264"/>
              </w:tabs>
              <w:overflowPunct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领    导</w:t>
            </w:r>
          </w:p>
          <w:p>
            <w:pPr>
              <w:tabs>
                <w:tab w:val="left" w:pos="790"/>
                <w:tab w:val="left" w:pos="1264"/>
              </w:tabs>
              <w:overflowPunct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意　　见</w:t>
            </w:r>
          </w:p>
        </w:tc>
        <w:tc>
          <w:tcPr>
            <w:tcW w:w="7428" w:type="dxa"/>
            <w:gridSpan w:val="4"/>
          </w:tcPr>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rPr>
                <w:rFonts w:ascii="仿宋_GB2312" w:hAnsi="仿宋_GB2312" w:eastAsia="仿宋_GB2312" w:cs="仿宋_GB2312"/>
                <w:sz w:val="28"/>
                <w:szCs w:val="28"/>
              </w:rPr>
            </w:pPr>
          </w:p>
          <w:p>
            <w:pPr>
              <w:tabs>
                <w:tab w:val="left" w:pos="790"/>
                <w:tab w:val="left" w:pos="1264"/>
              </w:tabs>
              <w:overflowPunct w:val="0"/>
              <w:adjustRightInd w:val="0"/>
              <w:snapToGrid w:val="0"/>
              <w:ind w:firstLine="1365"/>
              <w:rPr>
                <w:rFonts w:ascii="仿宋_GB2312" w:hAnsi="仿宋_GB2312" w:eastAsia="仿宋_GB2312" w:cs="仿宋_GB2312"/>
                <w:sz w:val="28"/>
                <w:szCs w:val="28"/>
              </w:rPr>
            </w:pPr>
            <w:r>
              <w:rPr>
                <w:rFonts w:hint="eastAsia" w:ascii="仿宋_GB2312" w:hAnsi="仿宋_GB2312" w:eastAsia="仿宋_GB2312" w:cs="仿宋_GB2312"/>
                <w:sz w:val="28"/>
                <w:szCs w:val="28"/>
              </w:rPr>
              <w:t>签字：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1" w:hRule="exact"/>
          <w:jc w:val="center"/>
        </w:trPr>
        <w:tc>
          <w:tcPr>
            <w:tcW w:w="1417" w:type="dxa"/>
            <w:vAlign w:val="center"/>
          </w:tcPr>
          <w:p>
            <w:pPr>
              <w:tabs>
                <w:tab w:val="left" w:pos="790"/>
                <w:tab w:val="left" w:pos="1264"/>
              </w:tabs>
              <w:overflowPunct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单位盖章</w:t>
            </w:r>
          </w:p>
        </w:tc>
        <w:tc>
          <w:tcPr>
            <w:tcW w:w="7428" w:type="dxa"/>
            <w:gridSpan w:val="4"/>
          </w:tcPr>
          <w:p>
            <w:pPr>
              <w:tabs>
                <w:tab w:val="left" w:pos="790"/>
                <w:tab w:val="left" w:pos="1264"/>
              </w:tabs>
              <w:overflowPunct w:val="0"/>
              <w:adjustRightInd w:val="0"/>
              <w:snapToGrid w:val="0"/>
              <w:rPr>
                <w:rFonts w:ascii="仿宋_GB2312" w:hAnsi="仿宋_GB2312" w:eastAsia="仿宋_GB2312" w:cs="仿宋_GB2312"/>
                <w:sz w:val="28"/>
                <w:szCs w:val="28"/>
              </w:rPr>
            </w:pPr>
          </w:p>
        </w:tc>
      </w:tr>
    </w:tbl>
    <w:p>
      <w:pPr>
        <w:spacing w:line="560" w:lineRule="exact"/>
        <w:rPr>
          <w:rFonts w:ascii="黑体" w:hAnsi="黑体" w:eastAsia="黑体" w:cs="Arial"/>
          <w:color w:val="191919"/>
          <w:sz w:val="32"/>
          <w:szCs w:val="32"/>
        </w:rPr>
      </w:pPr>
      <w:r>
        <w:rPr>
          <w:rFonts w:hint="eastAsia" w:ascii="黑体" w:hAnsi="黑体" w:eastAsia="黑体" w:cs="Arial"/>
          <w:color w:val="191919"/>
          <w:sz w:val="32"/>
          <w:szCs w:val="32"/>
        </w:rPr>
        <w:br w:type="page"/>
      </w:r>
      <w:r>
        <w:rPr>
          <w:rFonts w:hint="eastAsia" w:ascii="黑体" w:hAnsi="黑体" w:eastAsia="黑体" w:cs="Arial"/>
          <w:color w:val="191919"/>
          <w:sz w:val="32"/>
          <w:szCs w:val="32"/>
        </w:rPr>
        <w:t>附件3</w:t>
      </w:r>
    </w:p>
    <w:p>
      <w:pPr>
        <w:pStyle w:val="2"/>
        <w:spacing w:line="560" w:lineRule="exact"/>
        <w:ind w:left="420"/>
      </w:pPr>
    </w:p>
    <w:p>
      <w:pPr>
        <w:spacing w:line="560" w:lineRule="exact"/>
        <w:jc w:val="center"/>
        <w:rPr>
          <w:rFonts w:eastAsia="方正小标宋简体"/>
          <w:sz w:val="44"/>
          <w:szCs w:val="44"/>
        </w:rPr>
      </w:pPr>
      <w:r>
        <w:rPr>
          <w:rFonts w:hint="eastAsia" w:eastAsia="方正小标宋简体"/>
          <w:sz w:val="44"/>
          <w:szCs w:val="44"/>
        </w:rPr>
        <w:t>公平竞争审查工作咨询函（模板）</w:t>
      </w:r>
    </w:p>
    <w:p>
      <w:pPr>
        <w:spacing w:line="560" w:lineRule="exact"/>
        <w:rPr>
          <w:rFonts w:ascii="仿宋" w:hAnsi="仿宋" w:eastAsia="仿宋"/>
          <w:sz w:val="28"/>
        </w:rPr>
      </w:pP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区市场监督管理局：</w:t>
      </w:r>
    </w:p>
    <w:p>
      <w:pPr>
        <w:spacing w:line="560" w:lineRule="exact"/>
        <w:ind w:firstLine="640" w:firstLineChars="200"/>
        <w:jc w:val="left"/>
        <w:rPr>
          <w:rFonts w:ascii="仿宋_GB2312" w:hAnsi="仿宋_GB2312" w:eastAsia="仿宋_GB2312" w:cs="仿宋_GB2312"/>
          <w:sz w:val="28"/>
        </w:rPr>
      </w:pPr>
      <w:r>
        <w:rPr>
          <w:rFonts w:hint="eastAsia" w:ascii="仿宋_GB2312" w:hAnsi="仿宋_GB2312" w:eastAsia="仿宋_GB2312" w:cs="仿宋_GB2312"/>
          <w:sz w:val="32"/>
          <w:szCs w:val="32"/>
        </w:rPr>
        <w:t>为了XXX，根据XXX，我单位起草了《XXX》，拟以【规范性文件/XXX】形式出台并【主动公开/XXX】。对照《公平竞争审查制度实施细则》相关规定，我单位认为该文件需要进行公平竞争审查，并进行了初审。现报送至贵单位会审，商请贵单位提供咨询意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随函提供如下材料：</w:t>
      </w:r>
    </w:p>
    <w:p>
      <w:pPr>
        <w:pStyle w:val="7"/>
        <w:numPr>
          <w:ilvl w:val="0"/>
          <w:numId w:val="8"/>
        </w:numPr>
        <w:spacing w:line="56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政策措施草案及起草说明</w:t>
      </w:r>
    </w:p>
    <w:p>
      <w:pPr>
        <w:pStyle w:val="7"/>
        <w:numPr>
          <w:ilvl w:val="0"/>
          <w:numId w:val="8"/>
        </w:numPr>
        <w:spacing w:line="56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相关法律、行政法规国务院规定以及其他制定依据</w:t>
      </w:r>
    </w:p>
    <w:p>
      <w:pPr>
        <w:pStyle w:val="7"/>
        <w:numPr>
          <w:ilvl w:val="0"/>
          <w:numId w:val="8"/>
        </w:numPr>
        <w:spacing w:line="56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征求意见情况</w:t>
      </w:r>
    </w:p>
    <w:p>
      <w:pPr>
        <w:pStyle w:val="7"/>
        <w:numPr>
          <w:ilvl w:val="0"/>
          <w:numId w:val="8"/>
        </w:numPr>
        <w:spacing w:line="56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本单位公平竞争审查表</w:t>
      </w:r>
    </w:p>
    <w:p>
      <w:pPr>
        <w:pStyle w:val="7"/>
        <w:numPr>
          <w:ilvl w:val="0"/>
          <w:numId w:val="8"/>
        </w:numPr>
        <w:spacing w:line="56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u w:val="single"/>
        </w:rPr>
        <w:t xml:space="preserve">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此函</w:t>
      </w:r>
    </w:p>
    <w:p>
      <w:pPr>
        <w:pStyle w:val="2"/>
        <w:spacing w:line="560" w:lineRule="exact"/>
        <w:ind w:left="420"/>
        <w:rPr>
          <w:rFonts w:ascii="仿宋_GB2312" w:hAnsi="仿宋_GB2312" w:eastAsia="仿宋_GB2312" w:cs="仿宋_GB2312"/>
        </w:rPr>
      </w:pPr>
    </w:p>
    <w:p>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凌云路街道办事处</w:t>
      </w:r>
    </w:p>
    <w:p>
      <w:pPr>
        <w:spacing w:line="560" w:lineRule="exact"/>
        <w:ind w:firstLine="6720" w:firstLineChars="21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（印章）</w:t>
      </w:r>
    </w:p>
    <w:p>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X年X月X日</w:t>
      </w:r>
    </w:p>
    <w:p>
      <w:pPr>
        <w:spacing w:line="560" w:lineRule="exact"/>
        <w:ind w:firstLine="640" w:firstLineChars="200"/>
      </w:pPr>
      <w:r>
        <w:rPr>
          <w:rFonts w:hint="eastAsia" w:ascii="仿宋_GB2312" w:hAnsi="仿宋_GB2312" w:eastAsia="仿宋_GB2312" w:cs="仿宋_GB2312"/>
          <w:sz w:val="32"/>
          <w:szCs w:val="32"/>
        </w:rPr>
        <w:t>联系人：XXX  联系电话：XXX</w:t>
      </w:r>
    </w:p>
    <w:p>
      <w:pPr>
        <w:rPr>
          <w:rFonts w:ascii="仿宋_GB2312" w:eastAsia="仿宋_GB2312"/>
          <w:sz w:val="13"/>
          <w:szCs w:val="28"/>
        </w:rPr>
      </w:pPr>
    </w:p>
    <w:p/>
    <w:sectPr>
      <w:footerReference r:id="rId3" w:type="default"/>
      <w:footerReference r:id="rId4" w:type="even"/>
      <w:pgSz w:w="11906" w:h="16838"/>
      <w:pgMar w:top="1440" w:right="1797" w:bottom="1440" w:left="1797" w:header="851" w:footer="79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宋体" w:hAnsi="宋体"/>
        <w:sz w:val="48"/>
        <w:szCs w:val="28"/>
      </w:rPr>
    </w:pPr>
    <w:r>
      <w:rPr>
        <w:sz w:val="4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381635" cy="197485"/>
              <wp:effectExtent l="0" t="0" r="0" b="0"/>
              <wp:wrapNone/>
              <wp:docPr id="1" name="文本框 3"/>
              <wp:cNvGraphicFramePr/>
              <a:graphic xmlns:a="http://schemas.openxmlformats.org/drawingml/2006/main">
                <a:graphicData uri="http://schemas.microsoft.com/office/word/2010/wordprocessingShape">
                  <wps:wsp>
                    <wps:cNvSpPr txBox="1">
                      <a:spLocks noChangeArrowheads="1"/>
                    </wps:cNvSpPr>
                    <wps:spPr bwMode="auto">
                      <a:xfrm>
                        <a:off x="0" y="0"/>
                        <a:ext cx="381635" cy="197485"/>
                      </a:xfrm>
                      <a:prstGeom prst="rect">
                        <a:avLst/>
                      </a:prstGeom>
                      <a:noFill/>
                      <a:ln>
                        <a:noFill/>
                      </a:ln>
                    </wps:spPr>
                    <wps:txbx>
                      <w:txbxContent>
                        <w:p>
                          <w:pPr>
                            <w:snapToGrid w:val="0"/>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- 3 -</w:t>
                          </w:r>
                          <w:r>
                            <w:rPr>
                              <w:rFonts w:hint="eastAsia" w:ascii="宋体" w:hAnsi="宋体" w:cs="宋体"/>
                              <w:sz w:val="24"/>
                            </w:rP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5.55pt;width:30.05pt;mso-position-horizontal:outside;mso-position-horizontal-relative:margin;mso-wrap-style:none;z-index:251660288;mso-width-relative:page;mso-height-relative:page;" filled="f" stroked="f" coordsize="21600,21600" o:gfxdata="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dt9bR0QAAAAMBAAAPAAAAAAAAAAEAIAAAACIAAABkcnMv&#10;ZG93bnJldi54bWxQSwECFAAUAAAACACHTuJAUxq77AoCAAACBAAADgAAAAAAAAABACAAAAAgAQAA&#10;ZHJzL2Uyb0RvYy54bWxQSwUGAAAAAAYABgBZAQAAnAUAAAAA&#10;">
              <v:fill on="f" focussize="0,0"/>
              <v:stroke on="f"/>
              <v:imagedata o:title=""/>
              <o:lock v:ext="edit" aspectratio="f"/>
              <v:textbox inset="0mm,0mm,0mm,0mm" style="mso-fit-shape-to-text:t;">
                <w:txbxContent>
                  <w:p>
                    <w:pPr>
                      <w:snapToGrid w:val="0"/>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- 3 -</w:t>
                    </w:r>
                    <w:r>
                      <w:rPr>
                        <w:rFonts w:hint="eastAsia" w:ascii="宋体" w:hAnsi="宋体" w:cs="宋体"/>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-238125</wp:posOffset>
              </wp:positionV>
              <wp:extent cx="445135" cy="230505"/>
              <wp:effectExtent l="0" t="0" r="0" b="0"/>
              <wp:wrapNone/>
              <wp:docPr id="2" name="文本框 4"/>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wps:spPr>
                    <wps:txbx>
                      <w:txbxContent>
                        <w:p>
                          <w:pPr>
                            <w:snapToGrid w:val="0"/>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left:0pt;margin-top:-18.75pt;height:18.15pt;width:35.05pt;mso-position-horizontal-relative:margin;mso-wrap-style:none;z-index:251661312;mso-width-relative:page;mso-height-relative:page;" filled="f" stroked="f" coordsize="21600,21600" o:gfxdata="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&#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VvrK90wAAAAYBAAAPAAAAAAAAAAEAIAAAACIAAABk&#10;cnMvZG93bnJldi54bWxQSwECFAAUAAAACACHTuJAIGdP4AsCAAACBAAADgAAAAAAAAABACAAAAAi&#10;AQAAZHJzL2Uyb0RvYy54bWxQSwUGAAAAAAYABgBZAQAAnwUAAAAA&#10;">
              <v:fill on="f" focussize="0,0"/>
              <v:stroke on="f"/>
              <v:imagedata o:title=""/>
              <o:lock v:ext="edit" aspectratio="f"/>
              <v:textbox inset="0mm,0mm,0mm,0mm" style="mso-fit-shape-to-text:t;">
                <w:txbxContent>
                  <w:p>
                    <w:pPr>
                      <w:snapToGrid w:val="0"/>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6A8C2"/>
    <w:multiLevelType w:val="singleLevel"/>
    <w:tmpl w:val="9F76A8C2"/>
    <w:lvl w:ilvl="0" w:tentative="0">
      <w:start w:val="1"/>
      <w:numFmt w:val="decimal"/>
      <w:suff w:val="nothing"/>
      <w:lvlText w:val="%1．"/>
      <w:lvlJc w:val="left"/>
      <w:pPr>
        <w:ind w:left="0" w:firstLine="400"/>
      </w:pPr>
      <w:rPr>
        <w:rFonts w:hint="default"/>
      </w:rPr>
    </w:lvl>
  </w:abstractNum>
  <w:abstractNum w:abstractNumId="1">
    <w:nsid w:val="B7FE0364"/>
    <w:multiLevelType w:val="singleLevel"/>
    <w:tmpl w:val="B7FE0364"/>
    <w:lvl w:ilvl="0" w:tentative="0">
      <w:start w:val="1"/>
      <w:numFmt w:val="chineseCounting"/>
      <w:suff w:val="nothing"/>
      <w:lvlText w:val="（%1）"/>
      <w:lvlJc w:val="left"/>
      <w:pPr>
        <w:ind w:left="0" w:firstLine="420"/>
      </w:pPr>
      <w:rPr>
        <w:rFonts w:hint="eastAsia"/>
      </w:rPr>
    </w:lvl>
  </w:abstractNum>
  <w:abstractNum w:abstractNumId="2">
    <w:nsid w:val="BFDCFA9D"/>
    <w:multiLevelType w:val="singleLevel"/>
    <w:tmpl w:val="BFDCFA9D"/>
    <w:lvl w:ilvl="0" w:tentative="0">
      <w:start w:val="1"/>
      <w:numFmt w:val="chineseCounting"/>
      <w:suff w:val="nothing"/>
      <w:lvlText w:val="（%1）"/>
      <w:lvlJc w:val="left"/>
      <w:pPr>
        <w:ind w:left="0" w:firstLine="420"/>
      </w:pPr>
      <w:rPr>
        <w:rFonts w:hint="eastAsia"/>
      </w:rPr>
    </w:lvl>
  </w:abstractNum>
  <w:abstractNum w:abstractNumId="3">
    <w:nsid w:val="EA9DD0B6"/>
    <w:multiLevelType w:val="singleLevel"/>
    <w:tmpl w:val="EA9DD0B6"/>
    <w:lvl w:ilvl="0" w:tentative="0">
      <w:start w:val="1"/>
      <w:numFmt w:val="decimal"/>
      <w:suff w:val="nothing"/>
      <w:lvlText w:val="%1．"/>
      <w:lvlJc w:val="left"/>
      <w:pPr>
        <w:ind w:left="0" w:firstLine="400"/>
      </w:pPr>
      <w:rPr>
        <w:rFonts w:hint="default"/>
      </w:rPr>
    </w:lvl>
  </w:abstractNum>
  <w:abstractNum w:abstractNumId="4">
    <w:nsid w:val="F48AE8FC"/>
    <w:multiLevelType w:val="singleLevel"/>
    <w:tmpl w:val="F48AE8FC"/>
    <w:lvl w:ilvl="0" w:tentative="0">
      <w:start w:val="1"/>
      <w:numFmt w:val="decimal"/>
      <w:suff w:val="nothing"/>
      <w:lvlText w:val="%1．"/>
      <w:lvlJc w:val="left"/>
      <w:pPr>
        <w:ind w:left="0" w:firstLine="400"/>
      </w:pPr>
      <w:rPr>
        <w:rFonts w:hint="default"/>
      </w:rPr>
    </w:lvl>
  </w:abstractNum>
  <w:abstractNum w:abstractNumId="5">
    <w:nsid w:val="FFFE8AC9"/>
    <w:multiLevelType w:val="singleLevel"/>
    <w:tmpl w:val="FFFE8AC9"/>
    <w:lvl w:ilvl="0" w:tentative="0">
      <w:start w:val="1"/>
      <w:numFmt w:val="decimal"/>
      <w:suff w:val="nothing"/>
      <w:lvlText w:val="%1．"/>
      <w:lvlJc w:val="left"/>
      <w:pPr>
        <w:ind w:left="0" w:firstLine="400"/>
      </w:pPr>
      <w:rPr>
        <w:rFonts w:hint="default"/>
      </w:rPr>
    </w:lvl>
  </w:abstractNum>
  <w:abstractNum w:abstractNumId="6">
    <w:nsid w:val="07840E18"/>
    <w:multiLevelType w:val="multilevel"/>
    <w:tmpl w:val="07840E18"/>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7B3F7441"/>
    <w:multiLevelType w:val="singleLevel"/>
    <w:tmpl w:val="7B3F7441"/>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3"/>
  </w:num>
  <w:num w:numId="4">
    <w:abstractNumId w:val="5"/>
  </w:num>
  <w:num w:numId="5">
    <w:abstractNumId w:val="4"/>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lMjU2MjU5MjU3MjlhNGU5NDA5YTk1OGI5OTIxYzkifQ=="/>
  </w:docVars>
  <w:rsids>
    <w:rsidRoot w:val="4D383202"/>
    <w:rsid w:val="4D383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kern w:val="0"/>
      <w:sz w:val="24"/>
    </w:rPr>
  </w:style>
  <w:style w:type="paragraph" w:styleId="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2023-10-30T06:33:00Z</dcterms:created>
  <dc:creator>小玉</dc:creator>
  <cp:lastModifiedBy>小玉</cp:lastModifiedBy>
  <dcterms:modified xsi:type="dcterms:W3CDTF">2023-10-30T06:34:07Z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95708AC5422146D9A55CFB69BEE791C2_11</vt:lpwstr>
  </property>
</Properties>
</file>