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ascii="华文中宋" w:hAnsi="华文中宋" w:eastAsia="华文中宋" w:cs="宋体"/>
          <w:b/>
          <w:bCs/>
          <w:color w:val="333333"/>
          <w:kern w:val="0"/>
          <w:sz w:val="36"/>
          <w:szCs w:val="36"/>
        </w:rPr>
      </w:pPr>
      <w:r>
        <w:rPr>
          <w:rFonts w:hint="eastAsia" w:ascii="华文中宋" w:hAnsi="华文中宋" w:eastAsia="华文中宋" w:cs="宋体"/>
          <w:b/>
          <w:bCs/>
          <w:color w:val="333333"/>
          <w:kern w:val="0"/>
          <w:sz w:val="36"/>
          <w:szCs w:val="36"/>
        </w:rPr>
        <w:t>202</w:t>
      </w:r>
      <w:r>
        <w:rPr>
          <w:rFonts w:hint="eastAsia" w:ascii="华文中宋" w:hAnsi="华文中宋" w:eastAsia="华文中宋" w:cs="宋体"/>
          <w:b/>
          <w:bCs/>
          <w:color w:val="333333"/>
          <w:kern w:val="0"/>
          <w:sz w:val="36"/>
          <w:szCs w:val="36"/>
          <w:lang w:val="en-US" w:eastAsia="zh-CN"/>
        </w:rPr>
        <w:t>3</w:t>
      </w:r>
      <w:r>
        <w:rPr>
          <w:rFonts w:hint="eastAsia" w:ascii="华文中宋" w:hAnsi="华文中宋" w:eastAsia="华文中宋" w:cs="宋体"/>
          <w:b/>
          <w:bCs/>
          <w:color w:val="333333"/>
          <w:kern w:val="0"/>
          <w:sz w:val="36"/>
          <w:szCs w:val="36"/>
        </w:rPr>
        <w:t>年上海市徐汇区凌云街道</w:t>
      </w:r>
    </w:p>
    <w:p>
      <w:pPr>
        <w:widowControl/>
        <w:shd w:val="clear" w:color="auto" w:fill="FFFFFF"/>
        <w:jc w:val="center"/>
        <w:rPr>
          <w:rFonts w:ascii="华文中宋" w:hAnsi="华文中宋" w:eastAsia="华文中宋" w:cs="宋体"/>
          <w:color w:val="333333"/>
          <w:kern w:val="0"/>
          <w:sz w:val="24"/>
          <w:szCs w:val="24"/>
        </w:rPr>
      </w:pPr>
      <w:r>
        <w:rPr>
          <w:rFonts w:hint="eastAsia" w:ascii="华文中宋" w:hAnsi="华文中宋" w:eastAsia="华文中宋" w:cs="宋体"/>
          <w:b/>
          <w:bCs/>
          <w:color w:val="333333"/>
          <w:kern w:val="0"/>
          <w:sz w:val="36"/>
          <w:szCs w:val="36"/>
        </w:rPr>
        <w:t>政府信息公开工作年度报告</w:t>
      </w:r>
    </w:p>
    <w:p>
      <w:pPr>
        <w:widowControl/>
        <w:shd w:val="clear" w:color="auto" w:fill="FFFFFF"/>
        <w:adjustRightInd w:val="0"/>
        <w:spacing w:line="520" w:lineRule="exact"/>
        <w:ind w:firstLine="480" w:firstLineChars="200"/>
        <w:rPr>
          <w:rFonts w:ascii="仿宋_GB2312" w:hAnsi="宋体" w:eastAsia="仿宋_GB2312" w:cs="宋体"/>
          <w:color w:val="333333"/>
          <w:kern w:val="0"/>
          <w:sz w:val="24"/>
          <w:szCs w:val="24"/>
        </w:rPr>
      </w:pPr>
    </w:p>
    <w:p>
      <w:pPr>
        <w:widowControl/>
        <w:shd w:val="clear" w:color="auto" w:fill="FFFFFF"/>
        <w:adjustRightInd w:val="0"/>
        <w:spacing w:line="520" w:lineRule="exact"/>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根据《中华人民共和国政府信息公开条例》（以下简称《条例》）、《上海市政府信息公开规定》（以下简称《规定》）以及《202</w:t>
      </w:r>
      <w:r>
        <w:rPr>
          <w:rFonts w:hint="eastAsia" w:ascii="仿宋_GB2312" w:hAnsi="宋体" w:eastAsia="仿宋_GB2312" w:cs="宋体"/>
          <w:color w:val="333333"/>
          <w:kern w:val="0"/>
          <w:sz w:val="28"/>
          <w:szCs w:val="28"/>
          <w:lang w:val="en-US" w:eastAsia="zh-CN"/>
        </w:rPr>
        <w:t>3</w:t>
      </w:r>
      <w:r>
        <w:rPr>
          <w:rFonts w:hint="eastAsia" w:ascii="仿宋_GB2312" w:hAnsi="宋体" w:eastAsia="仿宋_GB2312" w:cs="宋体"/>
          <w:color w:val="333333"/>
          <w:kern w:val="0"/>
          <w:sz w:val="28"/>
          <w:szCs w:val="28"/>
        </w:rPr>
        <w:t>年度徐汇区政务公开考核评估实施方案》文件精神，凌云街道办事处编制了202</w:t>
      </w:r>
      <w:r>
        <w:rPr>
          <w:rFonts w:hint="eastAsia" w:ascii="仿宋_GB2312" w:hAnsi="宋体" w:eastAsia="仿宋_GB2312" w:cs="宋体"/>
          <w:color w:val="333333"/>
          <w:kern w:val="0"/>
          <w:sz w:val="28"/>
          <w:szCs w:val="28"/>
          <w:lang w:val="en-US" w:eastAsia="zh-CN"/>
        </w:rPr>
        <w:t>3</w:t>
      </w:r>
      <w:r>
        <w:rPr>
          <w:rFonts w:hint="eastAsia" w:ascii="仿宋_GB2312" w:hAnsi="宋体" w:eastAsia="仿宋_GB2312" w:cs="宋体"/>
          <w:color w:val="333333"/>
          <w:kern w:val="0"/>
          <w:sz w:val="28"/>
          <w:szCs w:val="28"/>
        </w:rPr>
        <w:t>年政府信息公开工作年度报告，全文包括总体情况，主动公开政府信息情况，收到和处理政府信息公开申请情况，政府信息公开行政复议、行政诉讼情况，存在的主要问题及改进情况等。本年度报告中所列数据的统计期限自202</w:t>
      </w:r>
      <w:r>
        <w:rPr>
          <w:rFonts w:hint="eastAsia" w:ascii="仿宋_GB2312" w:hAnsi="宋体" w:eastAsia="仿宋_GB2312" w:cs="宋体"/>
          <w:color w:val="333333"/>
          <w:kern w:val="0"/>
          <w:sz w:val="28"/>
          <w:szCs w:val="28"/>
          <w:lang w:val="en-US" w:eastAsia="zh-CN"/>
        </w:rPr>
        <w:t>3</w:t>
      </w:r>
      <w:r>
        <w:rPr>
          <w:rFonts w:hint="eastAsia" w:ascii="仿宋_GB2312" w:hAnsi="宋体" w:eastAsia="仿宋_GB2312" w:cs="宋体"/>
          <w:color w:val="333333"/>
          <w:kern w:val="0"/>
          <w:sz w:val="28"/>
          <w:szCs w:val="28"/>
        </w:rPr>
        <w:t>年1月1日起至202</w:t>
      </w:r>
      <w:r>
        <w:rPr>
          <w:rFonts w:hint="eastAsia" w:ascii="仿宋_GB2312" w:hAnsi="宋体" w:eastAsia="仿宋_GB2312" w:cs="宋体"/>
          <w:color w:val="333333"/>
          <w:kern w:val="0"/>
          <w:sz w:val="28"/>
          <w:szCs w:val="28"/>
          <w:lang w:val="en-US" w:eastAsia="zh-CN"/>
        </w:rPr>
        <w:t>3</w:t>
      </w:r>
      <w:r>
        <w:rPr>
          <w:rFonts w:hint="eastAsia" w:ascii="仿宋_GB2312" w:hAnsi="宋体" w:eastAsia="仿宋_GB2312" w:cs="宋体"/>
          <w:color w:val="333333"/>
          <w:kern w:val="0"/>
          <w:sz w:val="28"/>
          <w:szCs w:val="28"/>
        </w:rPr>
        <w:t>年12月31日止。</w:t>
      </w:r>
    </w:p>
    <w:p>
      <w:pPr>
        <w:widowControl/>
        <w:shd w:val="clear" w:color="auto" w:fill="FFFFFF"/>
        <w:ind w:firstLine="480"/>
        <w:rPr>
          <w:rFonts w:ascii="楷体_GB2312" w:hAnsi="宋体" w:eastAsia="楷体_GB2312" w:cs="宋体"/>
          <w:color w:val="333333"/>
          <w:kern w:val="0"/>
          <w:sz w:val="28"/>
          <w:szCs w:val="28"/>
        </w:rPr>
      </w:pPr>
      <w:r>
        <w:rPr>
          <w:rFonts w:hint="eastAsia" w:ascii="楷体_GB2312" w:hAnsi="宋体" w:eastAsia="楷体_GB2312" w:cs="宋体"/>
          <w:b/>
          <w:bCs/>
          <w:color w:val="333333"/>
          <w:kern w:val="0"/>
          <w:sz w:val="28"/>
          <w:szCs w:val="28"/>
        </w:rPr>
        <w:t>一、总体情况</w:t>
      </w:r>
    </w:p>
    <w:p>
      <w:pPr>
        <w:widowControl/>
        <w:spacing w:line="520" w:lineRule="exact"/>
        <w:ind w:firstLine="560" w:firstLineChars="200"/>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202</w:t>
      </w:r>
      <w:r>
        <w:rPr>
          <w:rFonts w:hint="eastAsia" w:ascii="仿宋_GB2312" w:hAnsi="宋体" w:eastAsia="仿宋_GB2312" w:cs="宋体"/>
          <w:color w:val="000000"/>
          <w:kern w:val="0"/>
          <w:sz w:val="28"/>
          <w:szCs w:val="28"/>
          <w:lang w:val="en-US" w:eastAsia="zh-CN"/>
        </w:rPr>
        <w:t>3</w:t>
      </w:r>
      <w:r>
        <w:rPr>
          <w:rFonts w:hint="eastAsia" w:ascii="仿宋_GB2312" w:hAnsi="宋体" w:eastAsia="仿宋_GB2312" w:cs="宋体"/>
          <w:color w:val="000000"/>
          <w:kern w:val="0"/>
          <w:sz w:val="28"/>
          <w:szCs w:val="28"/>
        </w:rPr>
        <w:t>年，在区委、区政府统一部署和指导下，凌云街道深入贯彻《条例》《规定》的要求，坚持以公开为常态，不公开为例外，认真做好政府信息公开日常工作。</w:t>
      </w:r>
    </w:p>
    <w:p>
      <w:pPr>
        <w:widowControl/>
        <w:spacing w:line="520" w:lineRule="exact"/>
        <w:ind w:firstLine="562" w:firstLineChars="200"/>
        <w:rPr>
          <w:rFonts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（一）主动公开政府信息情况</w:t>
      </w:r>
    </w:p>
    <w:p>
      <w:pPr>
        <w:widowControl/>
        <w:spacing w:line="520" w:lineRule="exact"/>
        <w:ind w:firstLine="560" w:firstLineChars="200"/>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2</w:t>
      </w:r>
      <w:r>
        <w:rPr>
          <w:rFonts w:ascii="仿宋_GB2312" w:hAnsi="宋体" w:eastAsia="仿宋_GB2312" w:cs="宋体"/>
          <w:color w:val="000000"/>
          <w:kern w:val="0"/>
          <w:sz w:val="28"/>
          <w:szCs w:val="28"/>
        </w:rPr>
        <w:t>0</w:t>
      </w:r>
      <w:r>
        <w:rPr>
          <w:rFonts w:hint="eastAsia" w:ascii="仿宋_GB2312" w:hAnsi="宋体" w:eastAsia="仿宋_GB2312" w:cs="宋体"/>
          <w:color w:val="000000"/>
          <w:kern w:val="0"/>
          <w:sz w:val="28"/>
          <w:szCs w:val="28"/>
        </w:rPr>
        <w:t>2</w:t>
      </w:r>
      <w:r>
        <w:rPr>
          <w:rFonts w:hint="eastAsia" w:ascii="仿宋_GB2312" w:hAnsi="宋体" w:eastAsia="仿宋_GB2312" w:cs="宋体"/>
          <w:color w:val="000000"/>
          <w:kern w:val="0"/>
          <w:sz w:val="28"/>
          <w:szCs w:val="28"/>
          <w:lang w:val="en-US" w:eastAsia="zh-CN"/>
        </w:rPr>
        <w:t>3</w:t>
      </w:r>
      <w:r>
        <w:rPr>
          <w:rFonts w:hint="eastAsia" w:ascii="仿宋_GB2312" w:hAnsi="宋体" w:eastAsia="仿宋_GB2312" w:cs="宋体"/>
          <w:color w:val="000000"/>
          <w:kern w:val="0"/>
          <w:sz w:val="28"/>
          <w:szCs w:val="28"/>
        </w:rPr>
        <w:t>年凌云街道区政府门户网站主动公开政府信息</w:t>
      </w:r>
      <w:r>
        <w:rPr>
          <w:rFonts w:hint="eastAsia" w:ascii="仿宋_GB2312" w:hAnsi="宋体" w:eastAsia="仿宋_GB2312" w:cs="宋体"/>
          <w:color w:val="000000"/>
          <w:kern w:val="0"/>
          <w:sz w:val="28"/>
          <w:szCs w:val="28"/>
          <w:lang w:val="en-US" w:eastAsia="zh-CN"/>
        </w:rPr>
        <w:t>39</w:t>
      </w:r>
      <w:r>
        <w:rPr>
          <w:rFonts w:hint="eastAsia" w:ascii="仿宋_GB2312" w:hAnsi="宋体" w:eastAsia="仿宋_GB2312" w:cs="宋体"/>
          <w:color w:val="000000"/>
          <w:kern w:val="0"/>
          <w:sz w:val="28"/>
          <w:szCs w:val="28"/>
        </w:rPr>
        <w:t>条。依照《条例》第二十条、第二十一条的规定，确定主动公开政府信息的具体内容，对不涉及国家秘密、商业秘密及个人隐私，不危及国家安全、公共安全、经济安全和社会稳定的信息，在规定时限内主动予以公开。</w:t>
      </w:r>
    </w:p>
    <w:p>
      <w:pPr>
        <w:widowControl/>
        <w:spacing w:line="520" w:lineRule="exact"/>
        <w:ind w:firstLine="540"/>
        <w:rPr>
          <w:rFonts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（二）政府信息管理情况</w:t>
      </w:r>
    </w:p>
    <w:p>
      <w:pPr>
        <w:widowControl/>
        <w:spacing w:line="520" w:lineRule="exact"/>
        <w:ind w:firstLine="560" w:firstLineChars="200"/>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明确政府信息公开工作的分管领导，配备相关工作人员，明确工作职责。建立完善了信息公开的工作机制，明确了信息公开的范围、形式、公开程序。对主动公开的信息、依申请公开的信息、免于公开的信息进行梳理分类，按照严守保密规定、方便公众查阅的原则，积极主动公开政府信息。</w:t>
      </w:r>
    </w:p>
    <w:p>
      <w:pPr>
        <w:widowControl/>
        <w:spacing w:line="520" w:lineRule="exact"/>
        <w:ind w:left="560"/>
        <w:rPr>
          <w:rFonts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（三）平台建设情况</w:t>
      </w:r>
    </w:p>
    <w:p>
      <w:pPr>
        <w:widowControl/>
        <w:shd w:val="clear" w:color="auto" w:fill="FFFFFF"/>
        <w:spacing w:line="520" w:lineRule="exact"/>
        <w:ind w:firstLine="560" w:firstLineChars="200"/>
        <w:rPr>
          <w:rFonts w:ascii="仿宋_GB2312" w:hAnsi="宋体" w:eastAsia="仿宋_GB2312" w:cs="宋体"/>
          <w:color w:val="333333"/>
          <w:kern w:val="0"/>
          <w:sz w:val="28"/>
          <w:szCs w:val="28"/>
        </w:rPr>
      </w:pPr>
      <w:r>
        <w:rPr>
          <w:rFonts w:hint="eastAsia" w:ascii="仿宋_GB2312" w:hAnsi="宋体" w:eastAsia="仿宋_GB2312" w:cs="宋体"/>
          <w:color w:val="000000"/>
          <w:kern w:val="0"/>
          <w:sz w:val="28"/>
          <w:szCs w:val="28"/>
        </w:rPr>
        <w:t>凌云街道信息公开平台主要依托徐汇区政府门户网站进行全文电子化公开。具体网址为</w:t>
      </w:r>
      <w:r>
        <w:rPr>
          <w:rFonts w:hint="eastAsia" w:ascii="仿宋_GB2312" w:hAnsi="宋体" w:eastAsia="仿宋_GB2312" w:cs="宋体"/>
          <w:color w:val="333333"/>
          <w:kern w:val="0"/>
          <w:sz w:val="28"/>
          <w:szCs w:val="28"/>
        </w:rPr>
        <w:t>http://www.xuhui.gov.cn/H/xhxxgkn/xhxxgk_ly/List/index.htm。同时，定期更新维护“侬好凌云”微信公众号，发布街道动态、要闻、公告等。</w:t>
      </w:r>
    </w:p>
    <w:p>
      <w:pPr>
        <w:widowControl/>
        <w:shd w:val="clear" w:color="auto" w:fill="FFFFFF"/>
        <w:spacing w:line="520" w:lineRule="exact"/>
        <w:ind w:firstLine="562" w:firstLineChars="200"/>
        <w:rPr>
          <w:rFonts w:ascii="仿宋_GB2312" w:hAnsi="宋体" w:eastAsia="仿宋_GB2312" w:cs="宋体"/>
          <w:b/>
          <w:color w:val="333333"/>
          <w:kern w:val="0"/>
          <w:sz w:val="28"/>
          <w:szCs w:val="28"/>
        </w:rPr>
      </w:pPr>
      <w:r>
        <w:rPr>
          <w:rFonts w:hint="eastAsia" w:ascii="仿宋_GB2312" w:hAnsi="宋体" w:eastAsia="仿宋_GB2312" w:cs="宋体"/>
          <w:b/>
          <w:color w:val="333333"/>
          <w:kern w:val="0"/>
          <w:sz w:val="28"/>
          <w:szCs w:val="28"/>
        </w:rPr>
        <w:t>（四）监督保障情况</w:t>
      </w:r>
    </w:p>
    <w:p>
      <w:pPr>
        <w:widowControl/>
        <w:shd w:val="clear" w:color="auto" w:fill="FFFFFF"/>
        <w:ind w:firstLine="480"/>
        <w:rPr>
          <w:rFonts w:ascii="宋体" w:hAnsi="宋体" w:eastAsia="宋体" w:cs="宋体"/>
          <w:color w:val="333333"/>
          <w:kern w:val="0"/>
          <w:sz w:val="24"/>
          <w:szCs w:val="24"/>
        </w:rPr>
      </w:pPr>
      <w:r>
        <w:rPr>
          <w:rFonts w:hint="eastAsia" w:ascii="仿宋_GB2312" w:hAnsi="宋体" w:eastAsia="仿宋_GB2312" w:cs="宋体"/>
          <w:color w:val="333333"/>
          <w:kern w:val="0"/>
          <w:sz w:val="28"/>
          <w:szCs w:val="28"/>
        </w:rPr>
        <w:t>全面落实中共上海市委办公厅、上海市人民政府办公厅印发《关于全面推进政务公开工作的实施意见》，以及《202</w:t>
      </w:r>
      <w:r>
        <w:rPr>
          <w:rFonts w:hint="eastAsia" w:ascii="仿宋_GB2312" w:hAnsi="宋体" w:eastAsia="仿宋_GB2312" w:cs="宋体"/>
          <w:color w:val="333333"/>
          <w:kern w:val="0"/>
          <w:sz w:val="28"/>
          <w:szCs w:val="28"/>
          <w:lang w:val="en-US" w:eastAsia="zh-CN"/>
        </w:rPr>
        <w:t>3</w:t>
      </w:r>
      <w:r>
        <w:rPr>
          <w:rFonts w:hint="eastAsia" w:ascii="仿宋_GB2312" w:hAnsi="宋体" w:eastAsia="仿宋_GB2312" w:cs="宋体"/>
          <w:color w:val="333333"/>
          <w:kern w:val="0"/>
          <w:sz w:val="28"/>
          <w:szCs w:val="28"/>
        </w:rPr>
        <w:t>年上海市政务公开工作要点》的具体任务，全面推进决策、执行、管理、服务、结果公开（以下简称“五公开”），着力提升依法行政的能力和水平，保障了人民群众的知情权、参与权和监督权。</w:t>
      </w:r>
    </w:p>
    <w:p>
      <w:pPr>
        <w:widowControl/>
        <w:shd w:val="clear" w:color="auto" w:fill="FFFFFF"/>
        <w:ind w:firstLine="480"/>
        <w:rPr>
          <w:rFonts w:ascii="宋体" w:hAnsi="宋体" w:eastAsia="宋体" w:cs="宋体"/>
          <w:color w:val="333333"/>
          <w:kern w:val="0"/>
          <w:sz w:val="24"/>
          <w:szCs w:val="24"/>
        </w:rPr>
      </w:pPr>
      <w:r>
        <w:rPr>
          <w:rFonts w:hint="eastAsia" w:ascii="楷体_GB2312" w:hAnsi="宋体" w:eastAsia="楷体_GB2312" w:cs="宋体"/>
          <w:b/>
          <w:bCs/>
          <w:color w:val="333333"/>
          <w:kern w:val="0"/>
          <w:sz w:val="28"/>
          <w:szCs w:val="28"/>
        </w:rPr>
        <w:t>二、主动公开政府信息情况</w:t>
      </w:r>
    </w:p>
    <w:p>
      <w:pPr>
        <w:widowControl/>
        <w:shd w:val="clear" w:color="auto" w:fill="FFFFFF"/>
        <w:ind w:firstLine="480"/>
        <w:rPr>
          <w:rFonts w:ascii="宋体" w:hAnsi="宋体" w:eastAsia="宋体" w:cs="宋体"/>
          <w:color w:val="333333"/>
          <w:kern w:val="0"/>
          <w:sz w:val="24"/>
          <w:szCs w:val="24"/>
        </w:rPr>
      </w:pPr>
    </w:p>
    <w:tbl>
      <w:tblPr>
        <w:tblStyle w:val="5"/>
        <w:tblW w:w="7865" w:type="dxa"/>
        <w:jc w:val="center"/>
        <w:tblLayout w:type="autofit"/>
        <w:tblCellMar>
          <w:top w:w="0" w:type="dxa"/>
          <w:left w:w="0" w:type="dxa"/>
          <w:bottom w:w="0" w:type="dxa"/>
          <w:right w:w="0" w:type="dxa"/>
        </w:tblCellMar>
      </w:tblPr>
      <w:tblGrid>
        <w:gridCol w:w="1670"/>
        <w:gridCol w:w="2044"/>
        <w:gridCol w:w="2344"/>
        <w:gridCol w:w="1807"/>
      </w:tblGrid>
      <w:tr>
        <w:tblPrEx>
          <w:tblCellMar>
            <w:top w:w="0" w:type="dxa"/>
            <w:left w:w="0" w:type="dxa"/>
            <w:bottom w:w="0" w:type="dxa"/>
            <w:right w:w="0" w:type="dxa"/>
          </w:tblCellMar>
        </w:tblPrEx>
        <w:trPr>
          <w:trHeight w:val="340" w:hRule="atLeast"/>
          <w:jc w:val="center"/>
        </w:trPr>
        <w:tc>
          <w:tcPr>
            <w:tcW w:w="7865"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204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w:t>
            </w:r>
            <w:r>
              <w:rPr>
                <w:rFonts w:ascii="宋体" w:hAnsi="宋体" w:eastAsia="宋体" w:cs="宋体"/>
                <w:kern w:val="0"/>
                <w:sz w:val="20"/>
                <w:szCs w:val="20"/>
              </w:rPr>
              <w:t>制</w:t>
            </w:r>
            <w:r>
              <w:rPr>
                <w:rFonts w:hint="eastAsia" w:ascii="宋体" w:hAnsi="宋体" w:eastAsia="宋体" w:cs="宋体"/>
                <w:kern w:val="0"/>
                <w:sz w:val="20"/>
                <w:szCs w:val="20"/>
              </w:rPr>
              <w:t>发件</w:t>
            </w:r>
            <w:r>
              <w:rPr>
                <w:rFonts w:ascii="宋体" w:hAnsi="宋体" w:eastAsia="宋体" w:cs="宋体"/>
                <w:kern w:val="0"/>
                <w:sz w:val="20"/>
                <w:szCs w:val="20"/>
              </w:rPr>
              <w:t>数</w:t>
            </w:r>
          </w:p>
        </w:tc>
        <w:tc>
          <w:tcPr>
            <w:tcW w:w="234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本年废止件数</w:t>
            </w:r>
          </w:p>
        </w:tc>
        <w:tc>
          <w:tcPr>
            <w:tcW w:w="1807"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现行有效件</w:t>
            </w:r>
            <w:r>
              <w:rPr>
                <w:rFonts w:ascii="宋体" w:hAnsi="宋体" w:eastAsia="宋体" w:cs="宋体"/>
                <w:kern w:val="0"/>
                <w:sz w:val="20"/>
                <w:szCs w:val="20"/>
              </w:rPr>
              <w:t>数</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规章</w:t>
            </w:r>
          </w:p>
        </w:tc>
        <w:tc>
          <w:tcPr>
            <w:tcW w:w="20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0</w:t>
            </w:r>
          </w:p>
        </w:tc>
        <w:tc>
          <w:tcPr>
            <w:tcW w:w="23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0</w:t>
            </w:r>
          </w:p>
        </w:tc>
        <w:tc>
          <w:tcPr>
            <w:tcW w:w="1807"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Calibri" w:hAnsi="Calibri" w:eastAsia="宋体" w:cs="宋体"/>
                <w:kern w:val="0"/>
                <w:szCs w:val="21"/>
              </w:rPr>
              <w:t>0</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行政规范性文件</w:t>
            </w:r>
          </w:p>
        </w:tc>
        <w:tc>
          <w:tcPr>
            <w:tcW w:w="20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0</w:t>
            </w:r>
          </w:p>
        </w:tc>
        <w:tc>
          <w:tcPr>
            <w:tcW w:w="23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0</w:t>
            </w:r>
          </w:p>
        </w:tc>
        <w:tc>
          <w:tcPr>
            <w:tcW w:w="1807"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Calibri" w:hAnsi="Calibri" w:eastAsia="宋体" w:cs="宋体"/>
                <w:kern w:val="0"/>
                <w:szCs w:val="21"/>
              </w:rPr>
              <w:t>0</w:t>
            </w:r>
          </w:p>
        </w:tc>
      </w:tr>
      <w:tr>
        <w:tblPrEx>
          <w:tblCellMar>
            <w:top w:w="0" w:type="dxa"/>
            <w:left w:w="0" w:type="dxa"/>
            <w:bottom w:w="0" w:type="dxa"/>
            <w:right w:w="0" w:type="dxa"/>
          </w:tblCellMar>
        </w:tblPrEx>
        <w:trPr>
          <w:trHeight w:val="340" w:hRule="atLeast"/>
          <w:jc w:val="center"/>
        </w:trPr>
        <w:tc>
          <w:tcPr>
            <w:tcW w:w="7865"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619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本年处理决定数量</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行政许可</w:t>
            </w:r>
          </w:p>
        </w:tc>
        <w:tc>
          <w:tcPr>
            <w:tcW w:w="619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Calibri" w:hAnsi="Calibri" w:eastAsia="宋体" w:cs="宋体"/>
                <w:kern w:val="0"/>
                <w:szCs w:val="21"/>
              </w:rPr>
              <w:t>0</w:t>
            </w:r>
          </w:p>
        </w:tc>
      </w:tr>
      <w:tr>
        <w:tblPrEx>
          <w:tblCellMar>
            <w:top w:w="0" w:type="dxa"/>
            <w:left w:w="0" w:type="dxa"/>
            <w:bottom w:w="0" w:type="dxa"/>
            <w:right w:w="0" w:type="dxa"/>
          </w:tblCellMar>
        </w:tblPrEx>
        <w:trPr>
          <w:trHeight w:val="340" w:hRule="atLeast"/>
          <w:jc w:val="center"/>
        </w:trPr>
        <w:tc>
          <w:tcPr>
            <w:tcW w:w="7865"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6195" w:type="dxa"/>
            <w:gridSpan w:val="3"/>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本年处理决定数量</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行政处罚</w:t>
            </w:r>
          </w:p>
        </w:tc>
        <w:tc>
          <w:tcPr>
            <w:tcW w:w="619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0</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行政强制</w:t>
            </w:r>
          </w:p>
        </w:tc>
        <w:tc>
          <w:tcPr>
            <w:tcW w:w="619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0</w:t>
            </w:r>
          </w:p>
        </w:tc>
      </w:tr>
      <w:tr>
        <w:tblPrEx>
          <w:tblCellMar>
            <w:top w:w="0" w:type="dxa"/>
            <w:left w:w="0" w:type="dxa"/>
            <w:bottom w:w="0" w:type="dxa"/>
            <w:right w:w="0" w:type="dxa"/>
          </w:tblCellMar>
        </w:tblPrEx>
        <w:trPr>
          <w:trHeight w:val="340" w:hRule="atLeast"/>
          <w:jc w:val="center"/>
        </w:trPr>
        <w:tc>
          <w:tcPr>
            <w:tcW w:w="7865"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619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本年收费金额（单位：万元）</w:t>
            </w:r>
          </w:p>
        </w:tc>
      </w:tr>
      <w:tr>
        <w:tblPrEx>
          <w:tblCellMar>
            <w:top w:w="0" w:type="dxa"/>
            <w:left w:w="0" w:type="dxa"/>
            <w:bottom w:w="0" w:type="dxa"/>
            <w:right w:w="0" w:type="dxa"/>
          </w:tblCellMar>
        </w:tblPrEx>
        <w:trPr>
          <w:trHeight w:val="340" w:hRule="atLeast"/>
          <w:jc w:val="center"/>
        </w:trPr>
        <w:tc>
          <w:tcPr>
            <w:tcW w:w="1670"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行政事业性收费</w:t>
            </w:r>
          </w:p>
        </w:tc>
        <w:tc>
          <w:tcPr>
            <w:tcW w:w="619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0</w:t>
            </w:r>
          </w:p>
        </w:tc>
      </w:tr>
    </w:tbl>
    <w:p>
      <w:pPr>
        <w:widowControl/>
        <w:jc w:val="left"/>
        <w:rPr>
          <w:rFonts w:ascii="宋体" w:hAnsi="宋体" w:eastAsia="宋体" w:cs="宋体"/>
          <w:kern w:val="0"/>
          <w:sz w:val="24"/>
          <w:szCs w:val="24"/>
        </w:rPr>
      </w:pPr>
    </w:p>
    <w:p>
      <w:pPr>
        <w:widowControl/>
        <w:shd w:val="clear" w:color="auto" w:fill="FFFFFF"/>
        <w:ind w:firstLine="480"/>
        <w:rPr>
          <w:rFonts w:ascii="楷体_GB2312" w:hAnsi="宋体" w:eastAsia="楷体_GB2312" w:cs="宋体"/>
          <w:b/>
          <w:bCs/>
          <w:color w:val="333333"/>
          <w:kern w:val="0"/>
          <w:sz w:val="28"/>
          <w:szCs w:val="28"/>
        </w:rPr>
      </w:pPr>
    </w:p>
    <w:p>
      <w:pPr>
        <w:widowControl/>
        <w:shd w:val="clear" w:color="auto" w:fill="FFFFFF"/>
        <w:ind w:firstLine="480"/>
        <w:rPr>
          <w:rFonts w:ascii="楷体_GB2312" w:hAnsi="宋体" w:eastAsia="楷体_GB2312" w:cs="宋体"/>
          <w:b/>
          <w:bCs/>
          <w:color w:val="333333"/>
          <w:kern w:val="0"/>
          <w:sz w:val="28"/>
          <w:szCs w:val="28"/>
        </w:rPr>
      </w:pPr>
      <w:r>
        <w:rPr>
          <w:rFonts w:hint="eastAsia" w:ascii="楷体_GB2312" w:hAnsi="宋体" w:eastAsia="楷体_GB2312" w:cs="宋体"/>
          <w:b/>
          <w:bCs/>
          <w:color w:val="333333"/>
          <w:kern w:val="0"/>
          <w:sz w:val="28"/>
          <w:szCs w:val="28"/>
        </w:rPr>
        <w:t>三、收到和处理政府信息公开申请情况</w:t>
      </w:r>
    </w:p>
    <w:p>
      <w:pPr>
        <w:widowControl/>
        <w:shd w:val="clear" w:color="auto" w:fill="FFFFFF"/>
        <w:ind w:firstLine="480"/>
        <w:rPr>
          <w:rFonts w:ascii="宋体" w:hAnsi="宋体" w:eastAsia="宋体" w:cs="宋体"/>
          <w:color w:val="333333"/>
          <w:kern w:val="0"/>
          <w:sz w:val="24"/>
          <w:szCs w:val="24"/>
        </w:rPr>
      </w:pPr>
    </w:p>
    <w:tbl>
      <w:tblPr>
        <w:tblStyle w:val="5"/>
        <w:tblW w:w="9474" w:type="dxa"/>
        <w:jc w:val="center"/>
        <w:tblLayout w:type="fixed"/>
        <w:tblCellMar>
          <w:top w:w="0" w:type="dxa"/>
          <w:left w:w="0" w:type="dxa"/>
          <w:bottom w:w="0" w:type="dxa"/>
          <w:right w:w="0" w:type="dxa"/>
        </w:tblCellMar>
      </w:tblPr>
      <w:tblGrid>
        <w:gridCol w:w="899"/>
        <w:gridCol w:w="819"/>
        <w:gridCol w:w="2944"/>
        <w:gridCol w:w="690"/>
        <w:gridCol w:w="686"/>
        <w:gridCol w:w="686"/>
        <w:gridCol w:w="686"/>
        <w:gridCol w:w="686"/>
        <w:gridCol w:w="687"/>
        <w:gridCol w:w="691"/>
      </w:tblGrid>
      <w:tr>
        <w:tblPrEx>
          <w:tblCellMar>
            <w:top w:w="0" w:type="dxa"/>
            <w:left w:w="0" w:type="dxa"/>
            <w:bottom w:w="0" w:type="dxa"/>
            <w:right w:w="0" w:type="dxa"/>
          </w:tblCellMar>
        </w:tblPrEx>
        <w:trPr>
          <w:jc w:val="center"/>
        </w:trPr>
        <w:tc>
          <w:tcPr>
            <w:tcW w:w="4662" w:type="dxa"/>
            <w:gridSpan w:val="3"/>
            <w:vMerge w:val="restart"/>
            <w:tcBorders>
              <w:top w:val="single" w:color="auto" w:sz="8" w:space="0"/>
              <w:left w:val="single" w:color="auto" w:sz="8" w:space="0"/>
              <w:bottom w:val="inset" w:color="auto" w:sz="8" w:space="0"/>
              <w:right w:val="single" w:color="auto" w:sz="8" w:space="0"/>
            </w:tcBorders>
            <w:tcMar>
              <w:top w:w="0" w:type="dxa"/>
              <w:left w:w="108" w:type="dxa"/>
              <w:bottom w:w="0" w:type="dxa"/>
              <w:right w:w="108" w:type="dxa"/>
            </w:tcMar>
            <w:vAlign w:val="center"/>
          </w:tcPr>
          <w:p>
            <w:pPr>
              <w:widowControl/>
              <w:jc w:val="left"/>
              <w:rPr>
                <w:rFonts w:ascii="宋体" w:hAnsi="宋体" w:eastAsia="宋体" w:cs="宋体"/>
                <w:kern w:val="0"/>
                <w:sz w:val="24"/>
                <w:szCs w:val="24"/>
              </w:rPr>
            </w:pPr>
            <w:r>
              <w:rPr>
                <w:rFonts w:hint="eastAsia" w:ascii="楷体" w:hAnsi="楷体" w:eastAsia="楷体" w:cs="宋体"/>
                <w:kern w:val="0"/>
                <w:sz w:val="20"/>
                <w:szCs w:val="20"/>
              </w:rPr>
              <w:t>（本列数据的勾稽关系为：第一项加第二项之和，等于第三项加第四项之和）</w:t>
            </w:r>
          </w:p>
        </w:tc>
        <w:tc>
          <w:tcPr>
            <w:tcW w:w="4812" w:type="dxa"/>
            <w:gridSpan w:val="7"/>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申请人情况</w:t>
            </w:r>
          </w:p>
        </w:tc>
      </w:tr>
      <w:tr>
        <w:tblPrEx>
          <w:tblCellMar>
            <w:top w:w="0" w:type="dxa"/>
            <w:left w:w="0" w:type="dxa"/>
            <w:bottom w:w="0" w:type="dxa"/>
            <w:right w:w="0" w:type="dxa"/>
          </w:tblCellMar>
        </w:tblPrEx>
        <w:trPr>
          <w:jc w:val="center"/>
        </w:trPr>
        <w:tc>
          <w:tcPr>
            <w:tcW w:w="4662" w:type="dxa"/>
            <w:gridSpan w:val="3"/>
            <w:vMerge w:val="continue"/>
            <w:tcBorders>
              <w:top w:val="single" w:color="auto" w:sz="8" w:space="0"/>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690" w:type="dxa"/>
            <w:vMerge w:val="restart"/>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自然人</w:t>
            </w:r>
          </w:p>
        </w:tc>
        <w:tc>
          <w:tcPr>
            <w:tcW w:w="3431" w:type="dxa"/>
            <w:gridSpan w:val="5"/>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法人或其他组织</w:t>
            </w:r>
          </w:p>
        </w:tc>
        <w:tc>
          <w:tcPr>
            <w:tcW w:w="691" w:type="dxa"/>
            <w:vMerge w:val="restart"/>
            <w:tcBorders>
              <w:top w:val="single" w:color="auto" w:sz="8" w:space="0"/>
              <w:left w:val="nil"/>
              <w:bottom w:val="inset"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总计</w:t>
            </w:r>
          </w:p>
        </w:tc>
      </w:tr>
      <w:tr>
        <w:tblPrEx>
          <w:tblCellMar>
            <w:top w:w="0" w:type="dxa"/>
            <w:left w:w="0" w:type="dxa"/>
            <w:bottom w:w="0" w:type="dxa"/>
            <w:right w:w="0" w:type="dxa"/>
          </w:tblCellMar>
        </w:tblPrEx>
        <w:trPr>
          <w:jc w:val="center"/>
        </w:trPr>
        <w:tc>
          <w:tcPr>
            <w:tcW w:w="4662" w:type="dxa"/>
            <w:gridSpan w:val="3"/>
            <w:vMerge w:val="continue"/>
            <w:tcBorders>
              <w:top w:val="single" w:color="auto" w:sz="8" w:space="0"/>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690" w:type="dxa"/>
            <w:vMerge w:val="continue"/>
            <w:tcBorders>
              <w:top w:val="nil"/>
              <w:left w:val="nil"/>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商业</w:t>
            </w:r>
          </w:p>
          <w:p>
            <w:pPr>
              <w:widowControl/>
              <w:jc w:val="center"/>
              <w:rPr>
                <w:rFonts w:ascii="宋体" w:hAnsi="宋体" w:eastAsia="宋体" w:cs="宋体"/>
                <w:kern w:val="0"/>
                <w:sz w:val="24"/>
                <w:szCs w:val="24"/>
              </w:rPr>
            </w:pPr>
            <w:r>
              <w:rPr>
                <w:rFonts w:hint="eastAsia" w:ascii="宋体" w:hAnsi="宋体" w:eastAsia="宋体" w:cs="宋体"/>
                <w:kern w:val="0"/>
                <w:sz w:val="20"/>
                <w:szCs w:val="20"/>
              </w:rPr>
              <w:t>企业</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科研</w:t>
            </w:r>
          </w:p>
          <w:p>
            <w:pPr>
              <w:widowControl/>
              <w:jc w:val="center"/>
              <w:rPr>
                <w:rFonts w:ascii="宋体" w:hAnsi="宋体" w:eastAsia="宋体" w:cs="宋体"/>
                <w:kern w:val="0"/>
                <w:sz w:val="24"/>
                <w:szCs w:val="24"/>
              </w:rPr>
            </w:pPr>
            <w:r>
              <w:rPr>
                <w:rFonts w:hint="eastAsia" w:ascii="宋体" w:hAnsi="宋体" w:eastAsia="宋体" w:cs="宋体"/>
                <w:kern w:val="0"/>
                <w:sz w:val="20"/>
                <w:szCs w:val="20"/>
              </w:rPr>
              <w:t>机构</w:t>
            </w:r>
          </w:p>
        </w:tc>
        <w:tc>
          <w:tcPr>
            <w:tcW w:w="686"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社会公益组织</w:t>
            </w:r>
          </w:p>
        </w:tc>
        <w:tc>
          <w:tcPr>
            <w:tcW w:w="686"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法律服务机构</w:t>
            </w:r>
          </w:p>
        </w:tc>
        <w:tc>
          <w:tcPr>
            <w:tcW w:w="687"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p>
        </w:tc>
        <w:tc>
          <w:tcPr>
            <w:tcW w:w="691" w:type="dxa"/>
            <w:vMerge w:val="continue"/>
            <w:tcBorders>
              <w:top w:val="single" w:color="auto" w:sz="8" w:space="0"/>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r>
      <w:tr>
        <w:tblPrEx>
          <w:tblCellMar>
            <w:top w:w="0" w:type="dxa"/>
            <w:left w:w="0" w:type="dxa"/>
            <w:bottom w:w="0" w:type="dxa"/>
            <w:right w:w="0" w:type="dxa"/>
          </w:tblCellMar>
        </w:tblPrEx>
        <w:trPr>
          <w:jc w:val="center"/>
        </w:trPr>
        <w:tc>
          <w:tcPr>
            <w:tcW w:w="4662"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一、本年新收政府信息公开申请数量</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2</w:t>
            </w:r>
          </w:p>
        </w:tc>
      </w:tr>
      <w:tr>
        <w:tblPrEx>
          <w:tblCellMar>
            <w:top w:w="0" w:type="dxa"/>
            <w:left w:w="0" w:type="dxa"/>
            <w:bottom w:w="0" w:type="dxa"/>
            <w:right w:w="0" w:type="dxa"/>
          </w:tblCellMar>
        </w:tblPrEx>
        <w:trPr>
          <w:jc w:val="center"/>
        </w:trPr>
        <w:tc>
          <w:tcPr>
            <w:tcW w:w="4662"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二、上年结转政府信息公开申请数量</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w:t>
            </w:r>
          </w:p>
        </w:tc>
      </w:tr>
      <w:tr>
        <w:tblPrEx>
          <w:tblCellMar>
            <w:top w:w="0" w:type="dxa"/>
            <w:left w:w="0" w:type="dxa"/>
            <w:bottom w:w="0" w:type="dxa"/>
            <w:right w:w="0" w:type="dxa"/>
          </w:tblCellMar>
        </w:tblPrEx>
        <w:trPr>
          <w:jc w:val="center"/>
        </w:trPr>
        <w:tc>
          <w:tcPr>
            <w:tcW w:w="899" w:type="dxa"/>
            <w:vMerge w:val="restart"/>
            <w:tcBorders>
              <w:top w:val="nil"/>
              <w:left w:val="single" w:color="auto" w:sz="8" w:space="0"/>
              <w:bottom w:val="inset"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三、本年度办理结果</w:t>
            </w:r>
          </w:p>
        </w:tc>
        <w:tc>
          <w:tcPr>
            <w:tcW w:w="37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（一）予以公开</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single" w:color="auto" w:sz="8" w:space="0"/>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37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（二）部分公开</w:t>
            </w:r>
            <w:r>
              <w:rPr>
                <w:rFonts w:hint="eastAsia" w:ascii="楷体" w:hAnsi="楷体" w:eastAsia="楷体" w:cs="宋体"/>
                <w:kern w:val="0"/>
                <w:sz w:val="20"/>
                <w:szCs w:val="20"/>
              </w:rPr>
              <w:t>（区分处理的，只计这一情形，不计其他情形）</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（三）不予公开</w:t>
            </w: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1.属于国家秘密</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single" w:color="auto" w:sz="8" w:space="0"/>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2.其他法律行政法规禁止公开</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3.危及“三安全一稳定”</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4.保护第三方合法权益</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5.属于三类内部事务信息</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6.属于四类过程性信息</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7.属于行政执法案卷</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8.属于行政查询事项</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（四）无法提供</w:t>
            </w: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1.本机关不掌握相关政府信息</w:t>
            </w:r>
          </w:p>
        </w:tc>
        <w:tc>
          <w:tcPr>
            <w:tcW w:w="690"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2.没有现成信息需要另行制作</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3.补正后申请内容仍不明确</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（五）不予处理</w:t>
            </w: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1.信访举报投诉类申请</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2.重复申请</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3.要求提供公开出版物</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tcPr>
          <w:p>
            <w:pPr>
              <w:widowControl/>
              <w:jc w:val="left"/>
              <w:rPr>
                <w:rFonts w:ascii="宋体" w:hAnsi="宋体" w:eastAsia="宋体" w:cs="宋体"/>
                <w:kern w:val="0"/>
                <w:sz w:val="24"/>
                <w:szCs w:val="24"/>
              </w:rPr>
            </w:pPr>
            <w:r>
              <w:rPr>
                <w:rFonts w:hint="eastAsia" w:ascii="宋体" w:hAnsi="宋体" w:eastAsia="宋体" w:cs="宋体"/>
                <w:kern w:val="0"/>
                <w:sz w:val="20"/>
                <w:szCs w:val="20"/>
              </w:rPr>
              <w:t>4.无正当理由大量反复申请</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trHeight w:val="779" w:hRule="atLeast"/>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nil"/>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inset" w:color="auto" w:sz="8" w:space="0"/>
              <w:right w:val="single" w:color="auto" w:sz="8" w:space="0"/>
            </w:tcBorders>
            <w:tcMar>
              <w:top w:w="0" w:type="dxa"/>
              <w:left w:w="57" w:type="dxa"/>
              <w:bottom w:w="0" w:type="dxa"/>
              <w:right w:w="57" w:type="dxa"/>
            </w:tcMar>
            <w:vAlign w:val="center"/>
          </w:tcPr>
          <w:p>
            <w:pPr>
              <w:widowControl/>
              <w:rPr>
                <w:rFonts w:ascii="宋体" w:hAnsi="宋体" w:eastAsia="宋体" w:cs="宋体"/>
                <w:kern w:val="0"/>
                <w:sz w:val="24"/>
                <w:szCs w:val="24"/>
              </w:rPr>
            </w:pPr>
            <w:r>
              <w:rPr>
                <w:rFonts w:hint="eastAsia" w:ascii="宋体" w:hAnsi="宋体" w:eastAsia="宋体" w:cs="宋体"/>
                <w:kern w:val="0"/>
                <w:sz w:val="20"/>
                <w:szCs w:val="20"/>
              </w:rPr>
              <w:t>5.要求行政机关确认或重新出具已获取信息</w:t>
            </w:r>
          </w:p>
        </w:tc>
        <w:tc>
          <w:tcPr>
            <w:tcW w:w="690"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inset"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restart"/>
            <w:tcBorders>
              <w:top w:val="inset" w:color="auto" w:sz="8" w:space="0"/>
              <w:left w:val="nil"/>
              <w:bottom w:val="inset"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（六）其他处理</w:t>
            </w:r>
          </w:p>
        </w:tc>
        <w:tc>
          <w:tcPr>
            <w:tcW w:w="29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rPr>
                <w:rFonts w:ascii="宋体" w:hAnsi="宋体" w:eastAsia="宋体" w:cs="宋体"/>
                <w:kern w:val="0"/>
                <w:sz w:val="24"/>
                <w:szCs w:val="24"/>
              </w:rPr>
            </w:pPr>
            <w:r>
              <w:rPr>
                <w:rFonts w:hint="eastAsia" w:ascii="宋体" w:hAnsi="宋体" w:eastAsia="宋体" w:cs="宋体"/>
                <w:kern w:val="0"/>
                <w:sz w:val="20"/>
                <w:szCs w:val="20"/>
              </w:rPr>
              <w:t>1.申请人无正当理由逾期不补正、行政机关不再处理其政府信息公开申请</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inset" w:color="auto" w:sz="8" w:space="0"/>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rPr>
                <w:rFonts w:ascii="宋体" w:hAnsi="宋体" w:eastAsia="宋体" w:cs="宋体"/>
                <w:kern w:val="0"/>
                <w:sz w:val="24"/>
                <w:szCs w:val="24"/>
              </w:rPr>
            </w:pPr>
            <w:r>
              <w:rPr>
                <w:rFonts w:hint="eastAsia" w:ascii="宋体" w:hAnsi="宋体" w:eastAsia="宋体" w:cs="宋体"/>
                <w:kern w:val="0"/>
                <w:sz w:val="20"/>
                <w:szCs w:val="20"/>
              </w:rPr>
              <w:t>2.申请人逾期未按收费通知要求缴纳费用、行政机关不再处理其政府信息公开申请</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819" w:type="dxa"/>
            <w:vMerge w:val="continue"/>
            <w:tcBorders>
              <w:top w:val="inset" w:color="auto" w:sz="8" w:space="0"/>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2944"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3.其他</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tblPrEx>
          <w:tblCellMar>
            <w:top w:w="0" w:type="dxa"/>
            <w:left w:w="0" w:type="dxa"/>
            <w:bottom w:w="0" w:type="dxa"/>
            <w:right w:w="0" w:type="dxa"/>
          </w:tblCellMar>
        </w:tblPrEx>
        <w:trPr>
          <w:jc w:val="center"/>
        </w:trPr>
        <w:tc>
          <w:tcPr>
            <w:tcW w:w="899" w:type="dxa"/>
            <w:vMerge w:val="continue"/>
            <w:tcBorders>
              <w:top w:val="nil"/>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37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（七）总计</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top"/>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w:t>
            </w:r>
          </w:p>
        </w:tc>
      </w:tr>
      <w:tr>
        <w:tblPrEx>
          <w:tblCellMar>
            <w:top w:w="0" w:type="dxa"/>
            <w:left w:w="0" w:type="dxa"/>
            <w:bottom w:w="0" w:type="dxa"/>
            <w:right w:w="0" w:type="dxa"/>
          </w:tblCellMar>
        </w:tblPrEx>
        <w:trPr>
          <w:jc w:val="center"/>
        </w:trPr>
        <w:tc>
          <w:tcPr>
            <w:tcW w:w="4662"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kern w:val="0"/>
                <w:sz w:val="20"/>
                <w:szCs w:val="20"/>
              </w:rPr>
              <w:t>四、结转下年度继续办理</w:t>
            </w:r>
          </w:p>
        </w:tc>
        <w:tc>
          <w:tcPr>
            <w:tcW w:w="690"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86"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691" w:type="dxa"/>
            <w:tcBorders>
              <w:top w:val="nil"/>
              <w:left w:val="nil"/>
              <w:bottom w:val="single" w:color="auto" w:sz="8" w:space="0"/>
              <w:right w:val="single" w:color="auto" w:sz="8" w:space="0"/>
            </w:tcBorders>
            <w:tcMar>
              <w:top w:w="0" w:type="dxa"/>
              <w:left w:w="57" w:type="dxa"/>
              <w:bottom w:w="0" w:type="dxa"/>
              <w:right w:w="57" w:type="dxa"/>
            </w:tcMar>
          </w:tcPr>
          <w:p>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r>
    </w:tbl>
    <w:p>
      <w:pPr>
        <w:widowControl/>
        <w:shd w:val="clear" w:color="auto" w:fill="FFFFFF"/>
        <w:jc w:val="center"/>
        <w:rPr>
          <w:rFonts w:ascii="宋体" w:hAnsi="宋体" w:eastAsia="宋体" w:cs="宋体"/>
          <w:color w:val="333333"/>
          <w:kern w:val="0"/>
          <w:sz w:val="24"/>
          <w:szCs w:val="24"/>
        </w:rPr>
      </w:pPr>
    </w:p>
    <w:p>
      <w:pPr>
        <w:widowControl/>
        <w:shd w:val="clear" w:color="auto" w:fill="FFFFFF"/>
        <w:ind w:firstLine="480"/>
        <w:rPr>
          <w:rFonts w:ascii="楷体_GB2312" w:hAnsi="宋体" w:eastAsia="楷体_GB2312" w:cs="宋体"/>
          <w:b/>
          <w:bCs/>
          <w:color w:val="333333"/>
          <w:kern w:val="0"/>
          <w:sz w:val="28"/>
          <w:szCs w:val="28"/>
        </w:rPr>
      </w:pPr>
    </w:p>
    <w:p>
      <w:pPr>
        <w:widowControl/>
        <w:shd w:val="clear" w:color="auto" w:fill="FFFFFF"/>
        <w:ind w:firstLine="480"/>
        <w:rPr>
          <w:rFonts w:ascii="楷体_GB2312" w:hAnsi="宋体" w:eastAsia="楷体_GB2312" w:cs="宋体"/>
          <w:b/>
          <w:bCs/>
          <w:color w:val="333333"/>
          <w:kern w:val="0"/>
          <w:sz w:val="28"/>
          <w:szCs w:val="28"/>
        </w:rPr>
      </w:pPr>
      <w:r>
        <w:rPr>
          <w:rFonts w:hint="eastAsia" w:ascii="楷体_GB2312" w:hAnsi="宋体" w:eastAsia="楷体_GB2312" w:cs="宋体"/>
          <w:b/>
          <w:bCs/>
          <w:color w:val="333333"/>
          <w:kern w:val="0"/>
          <w:sz w:val="28"/>
          <w:szCs w:val="28"/>
        </w:rPr>
        <w:t>四、政府信息公开行政复议、行政诉讼情况</w:t>
      </w:r>
    </w:p>
    <w:p>
      <w:pPr>
        <w:widowControl/>
        <w:shd w:val="clear" w:color="auto" w:fill="FFFFFF"/>
        <w:jc w:val="center"/>
        <w:rPr>
          <w:rFonts w:ascii="宋体" w:hAnsi="宋体" w:eastAsia="宋体" w:cs="宋体"/>
          <w:color w:val="333333"/>
          <w:kern w:val="0"/>
          <w:sz w:val="24"/>
          <w:szCs w:val="24"/>
        </w:rPr>
      </w:pPr>
    </w:p>
    <w:tbl>
      <w:tblPr>
        <w:tblStyle w:val="5"/>
        <w:tblW w:w="9629" w:type="dxa"/>
        <w:jc w:val="center"/>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532"/>
      </w:tblGrid>
      <w:tr>
        <w:tblPrEx>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行政复议</w:t>
            </w:r>
          </w:p>
        </w:tc>
        <w:tc>
          <w:tcPr>
            <w:tcW w:w="6384" w:type="dxa"/>
            <w:gridSpan w:val="10"/>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行政诉讼</w:t>
            </w:r>
          </w:p>
        </w:tc>
      </w:tr>
      <w:tr>
        <w:tblPrEx>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结果维持</w:t>
            </w:r>
          </w:p>
        </w:tc>
        <w:tc>
          <w:tcPr>
            <w:tcW w:w="649"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49"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49"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49"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总计</w:t>
            </w:r>
          </w:p>
        </w:tc>
        <w:tc>
          <w:tcPr>
            <w:tcW w:w="3248"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未经复议直接起诉</w:t>
            </w:r>
          </w:p>
        </w:tc>
        <w:tc>
          <w:tcPr>
            <w:tcW w:w="3136"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复议后起诉</w:t>
            </w:r>
          </w:p>
        </w:tc>
      </w:tr>
      <w:tr>
        <w:trPr>
          <w:jc w:val="center"/>
        </w:trPr>
        <w:tc>
          <w:tcPr>
            <w:tcW w:w="0" w:type="auto"/>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总计</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53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总计</w:t>
            </w:r>
          </w:p>
        </w:tc>
      </w:tr>
      <w:tr>
        <w:tblPrEx>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0"/>
                <w:szCs w:val="20"/>
                <w:lang w:val="en-US" w:eastAsia="zh-CN"/>
              </w:rPr>
              <w:t>1</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0"/>
                <w:szCs w:val="20"/>
                <w:lang w:val="en-US" w:eastAsia="zh-CN"/>
              </w:rPr>
              <w:t>14</w:t>
            </w:r>
          </w:p>
        </w:tc>
        <w:tc>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0"/>
                <w:szCs w:val="20"/>
                <w:lang w:val="en-US" w:eastAsia="zh-CN"/>
              </w:rPr>
              <w:t>15</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0</w:t>
            </w:r>
          </w:p>
        </w:tc>
        <w:tc>
          <w:tcPr>
            <w:tcW w:w="53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r>
    </w:tbl>
    <w:p>
      <w:pPr>
        <w:widowControl/>
        <w:ind w:left="480" w:hanging="480" w:hangingChars="200"/>
        <w:jc w:val="left"/>
        <w:rPr>
          <w:rFonts w:ascii="楷体_GB2312" w:hAnsi="宋体" w:eastAsia="楷体_GB2312" w:cs="宋体"/>
          <w:b/>
          <w:bCs/>
          <w:color w:val="333333"/>
          <w:kern w:val="0"/>
          <w:sz w:val="28"/>
          <w:szCs w:val="28"/>
        </w:rPr>
      </w:pPr>
      <w:r>
        <w:rPr>
          <w:rFonts w:hint="eastAsia" w:ascii="宋体" w:hAnsi="宋体" w:eastAsia="宋体" w:cs="宋体"/>
          <w:color w:val="333333"/>
          <w:kern w:val="0"/>
          <w:sz w:val="24"/>
          <w:szCs w:val="24"/>
        </w:rPr>
        <w:br w:type="textWrapping"/>
      </w:r>
      <w:r>
        <w:rPr>
          <w:rFonts w:hint="eastAsia" w:ascii="楷体_GB2312" w:hAnsi="宋体" w:eastAsia="楷体_GB2312" w:cs="宋体"/>
          <w:b/>
          <w:bCs/>
          <w:color w:val="333333"/>
          <w:kern w:val="0"/>
          <w:sz w:val="28"/>
          <w:szCs w:val="28"/>
        </w:rPr>
        <w:t>五、存在的主要问题及改进情况</w:t>
      </w:r>
    </w:p>
    <w:p>
      <w:pPr>
        <w:widowControl/>
        <w:shd w:val="clear" w:color="auto" w:fill="FFFFFF"/>
        <w:ind w:firstLine="480"/>
        <w:rPr>
          <w:rFonts w:ascii="宋体" w:hAnsi="宋体" w:eastAsia="宋体" w:cs="宋体"/>
          <w:color w:val="333333"/>
          <w:kern w:val="0"/>
          <w:sz w:val="24"/>
          <w:szCs w:val="24"/>
        </w:rPr>
      </w:pPr>
      <w:r>
        <w:rPr>
          <w:rFonts w:hint="eastAsia" w:ascii="仿宋_GB2312" w:hAnsi="宋体" w:eastAsia="仿宋_GB2312" w:cs="宋体"/>
          <w:color w:val="333333"/>
          <w:kern w:val="0"/>
          <w:sz w:val="28"/>
          <w:szCs w:val="28"/>
        </w:rPr>
        <w:t>202</w:t>
      </w:r>
      <w:r>
        <w:rPr>
          <w:rFonts w:hint="eastAsia" w:ascii="仿宋_GB2312" w:hAnsi="宋体" w:eastAsia="仿宋_GB2312" w:cs="宋体"/>
          <w:color w:val="333333"/>
          <w:kern w:val="0"/>
          <w:sz w:val="28"/>
          <w:szCs w:val="28"/>
          <w:lang w:val="en-US" w:eastAsia="zh-CN"/>
        </w:rPr>
        <w:t>3</w:t>
      </w:r>
      <w:r>
        <w:rPr>
          <w:rFonts w:hint="eastAsia" w:ascii="仿宋_GB2312" w:hAnsi="宋体" w:eastAsia="仿宋_GB2312" w:cs="宋体"/>
          <w:color w:val="333333"/>
          <w:kern w:val="0"/>
          <w:sz w:val="28"/>
          <w:szCs w:val="28"/>
        </w:rPr>
        <w:t>年，凌云街道政府信息公开工作进展顺利，但也存在一定差距和不足，主要体现在推进“五公开”工作上，公开的深度和广度需要进一步加强。202</w:t>
      </w:r>
      <w:r>
        <w:rPr>
          <w:rFonts w:hint="eastAsia" w:ascii="仿宋_GB2312" w:hAnsi="宋体" w:eastAsia="仿宋_GB2312" w:cs="宋体"/>
          <w:color w:val="333333"/>
          <w:kern w:val="0"/>
          <w:sz w:val="28"/>
          <w:szCs w:val="28"/>
          <w:lang w:val="en-US" w:eastAsia="zh-CN"/>
        </w:rPr>
        <w:t>4</w:t>
      </w:r>
      <w:r>
        <w:rPr>
          <w:rFonts w:hint="eastAsia" w:ascii="仿宋_GB2312" w:hAnsi="宋体" w:eastAsia="仿宋_GB2312" w:cs="宋体"/>
          <w:color w:val="333333"/>
          <w:kern w:val="0"/>
          <w:sz w:val="28"/>
          <w:szCs w:val="28"/>
        </w:rPr>
        <w:t>年凌云街道将继续深化政府信息公开内容，规范信息公开流程，提高公开质量。以社</w:t>
      </w:r>
      <w:bookmarkStart w:id="0" w:name="_GoBack"/>
      <w:bookmarkEnd w:id="0"/>
      <w:r>
        <w:rPr>
          <w:rFonts w:hint="eastAsia" w:ascii="仿宋_GB2312" w:hAnsi="宋体" w:eastAsia="仿宋_GB2312" w:cs="宋体"/>
          <w:color w:val="333333"/>
          <w:kern w:val="0"/>
          <w:sz w:val="28"/>
          <w:szCs w:val="28"/>
        </w:rPr>
        <w:t>会需求为导向，把涉及群众切身利益的各类事项作为公开重点，强化公开力度，提升信息发布时效性，扩大信息公开面。持续深化重点领域信息公开，推进重大建设项目批准和实施领域、公共资源配置领域和社会公益事业建设领域政府信息公开工作。</w:t>
      </w:r>
    </w:p>
    <w:p>
      <w:pPr>
        <w:widowControl/>
        <w:shd w:val="clear" w:color="auto" w:fill="FFFFFF"/>
        <w:ind w:firstLine="480"/>
        <w:rPr>
          <w:rFonts w:ascii="宋体" w:hAnsi="宋体" w:eastAsia="宋体" w:cs="宋体"/>
          <w:color w:val="333333"/>
          <w:kern w:val="0"/>
          <w:sz w:val="24"/>
          <w:szCs w:val="24"/>
        </w:rPr>
      </w:pPr>
      <w:r>
        <w:rPr>
          <w:rFonts w:hint="eastAsia" w:ascii="楷体_GB2312" w:hAnsi="宋体" w:eastAsia="楷体_GB2312" w:cs="宋体"/>
          <w:b/>
          <w:bCs/>
          <w:color w:val="333333"/>
          <w:kern w:val="0"/>
          <w:sz w:val="28"/>
          <w:szCs w:val="28"/>
        </w:rPr>
        <w:t>六、其他需要报告的事项</w:t>
      </w:r>
    </w:p>
    <w:p>
      <w:pPr>
        <w:widowControl/>
        <w:shd w:val="clear" w:color="auto" w:fill="FFFFFF"/>
        <w:ind w:firstLine="480"/>
        <w:rPr>
          <w:rFonts w:ascii="仿宋_GB2312" w:hAnsi="宋体" w:eastAsia="仿宋_GB2312" w:cs="宋体"/>
          <w:color w:val="333333"/>
          <w:kern w:val="0"/>
          <w:sz w:val="28"/>
          <w:szCs w:val="28"/>
        </w:rPr>
      </w:pPr>
      <w:r>
        <w:rPr>
          <w:rFonts w:hint="eastAsia" w:ascii="仿宋_GB2312" w:hAnsi="宋体" w:eastAsia="仿宋_GB2312" w:cs="宋体"/>
          <w:color w:val="333333"/>
          <w:kern w:val="0"/>
          <w:sz w:val="28"/>
          <w:szCs w:val="28"/>
        </w:rPr>
        <w:t>无。</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3469877"/>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lMjU2MjU5MjU3MjlhNGU5NDA5YTk1OGI5OTIxYzkifQ=="/>
  </w:docVars>
  <w:rsids>
    <w:rsidRoot w:val="001722B6"/>
    <w:rsid w:val="00075487"/>
    <w:rsid w:val="00082BD6"/>
    <w:rsid w:val="00160024"/>
    <w:rsid w:val="001722B6"/>
    <w:rsid w:val="001D7C9C"/>
    <w:rsid w:val="00237E8E"/>
    <w:rsid w:val="003C21DA"/>
    <w:rsid w:val="003F2ABB"/>
    <w:rsid w:val="00401A95"/>
    <w:rsid w:val="004341F5"/>
    <w:rsid w:val="00463701"/>
    <w:rsid w:val="005C4FEE"/>
    <w:rsid w:val="005D2AA4"/>
    <w:rsid w:val="006771DB"/>
    <w:rsid w:val="00687F9C"/>
    <w:rsid w:val="006C19DE"/>
    <w:rsid w:val="0078543A"/>
    <w:rsid w:val="00846A55"/>
    <w:rsid w:val="00972BC8"/>
    <w:rsid w:val="009E3C7D"/>
    <w:rsid w:val="00C50817"/>
    <w:rsid w:val="00E46018"/>
    <w:rsid w:val="00E51654"/>
    <w:rsid w:val="00F449EE"/>
    <w:rsid w:val="00F50A2B"/>
    <w:rsid w:val="00F70517"/>
    <w:rsid w:val="0749087E"/>
    <w:rsid w:val="0949606C"/>
    <w:rsid w:val="0A310FDA"/>
    <w:rsid w:val="17EA4F32"/>
    <w:rsid w:val="1BFE2CE6"/>
    <w:rsid w:val="1DA578BD"/>
    <w:rsid w:val="241F465B"/>
    <w:rsid w:val="308C2706"/>
    <w:rsid w:val="54D758A7"/>
    <w:rsid w:val="60D1758B"/>
    <w:rsid w:val="632E0D88"/>
    <w:rsid w:val="66FD721F"/>
    <w:rsid w:val="6FEF7AF1"/>
    <w:rsid w:val="74C3584A"/>
    <w:rsid w:val="7FE84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uiPriority w:val="99"/>
    <w:rPr>
      <w:sz w:val="18"/>
      <w:szCs w:val="18"/>
    </w:rPr>
  </w:style>
  <w:style w:type="character" w:customStyle="1" w:styleId="8">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368</Words>
  <Characters>2098</Characters>
  <Lines>17</Lines>
  <Paragraphs>4</Paragraphs>
  <TotalTime>178</TotalTime>
  <ScaleCrop>false</ScaleCrop>
  <LinksUpToDate>false</LinksUpToDate>
  <CharactersWithSpaces>2462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2023-01-03T08:58:00Z</dcterms:created>
  <dc:creator>ntko</dc:creator>
  <cp:lastModifiedBy>小玉</cp:lastModifiedBy>
  <dcterms:modified xsi:type="dcterms:W3CDTF">2024-01-02T06:10:12Z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52ADF74D1A29457B8A83C111D38C7C01_13</vt:lpwstr>
  </property>
</Properties>
</file>