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5C7" w:rsidRDefault="00AA49B3">
      <w:pPr>
        <w:widowControl/>
        <w:kinsoku w:val="0"/>
        <w:autoSpaceDE w:val="0"/>
        <w:autoSpaceDN w:val="0"/>
        <w:adjustRightInd w:val="0"/>
        <w:snapToGrid w:val="0"/>
        <w:spacing w:before="185"/>
        <w:jc w:val="center"/>
        <w:textAlignment w:val="baseline"/>
        <w:outlineLvl w:val="0"/>
        <w:rPr>
          <w:rFonts w:ascii="方正小标宋简体" w:eastAsia="方正小标宋简体" w:hAnsi="微软雅黑" w:cs="微软雅黑"/>
          <w:b/>
          <w:bCs/>
          <w:snapToGrid w:val="0"/>
          <w:color w:val="000000"/>
          <w:spacing w:val="8"/>
          <w:kern w:val="0"/>
          <w:sz w:val="36"/>
          <w:szCs w:val="36"/>
          <w14:ligatures w14:val="none"/>
        </w:rPr>
      </w:pPr>
      <w:bookmarkStart w:id="0" w:name="_Toc203381615"/>
      <w:bookmarkStart w:id="1" w:name="_Toc16652"/>
      <w:bookmarkStart w:id="2" w:name="_Toc21130"/>
      <w:bookmarkStart w:id="3" w:name="_Toc8540"/>
      <w:bookmarkStart w:id="4" w:name="_GoBack"/>
      <w:bookmarkEnd w:id="4"/>
      <w:r>
        <w:rPr>
          <w:rFonts w:ascii="方正小标宋简体" w:eastAsia="方正小标宋简体" w:hAnsi="微软雅黑" w:cs="微软雅黑" w:hint="eastAsia"/>
          <w:b/>
          <w:bCs/>
          <w:snapToGrid w:val="0"/>
          <w:color w:val="000000"/>
          <w:spacing w:val="8"/>
          <w:kern w:val="0"/>
          <w:sz w:val="36"/>
          <w:szCs w:val="36"/>
          <w14:ligatures w14:val="none"/>
        </w:rPr>
        <w:t>徐汇区“十五五”产业高质量发展规划</w:t>
      </w:r>
    </w:p>
    <w:p w:rsidR="009D15C7" w:rsidRDefault="00AA49B3">
      <w:pPr>
        <w:jc w:val="center"/>
        <w:rPr>
          <w:rFonts w:ascii="楷体_GB2312" w:eastAsia="楷体_GB2312" w:hAnsi="楷体" w:cs="楷体"/>
          <w:szCs w:val="32"/>
        </w:rPr>
      </w:pPr>
      <w:r>
        <w:rPr>
          <w:rFonts w:ascii="楷体_GB2312" w:eastAsia="楷体_GB2312" w:hAnsi="楷体" w:cs="楷体" w:hint="eastAsia"/>
          <w:szCs w:val="32"/>
        </w:rPr>
        <w:t>（征求意见稿）</w:t>
      </w:r>
    </w:p>
    <w:p w:rsidR="009D15C7" w:rsidRDefault="009D15C7">
      <w:pPr>
        <w:pStyle w:val="1"/>
        <w:ind w:firstLineChars="200" w:firstLine="640"/>
        <w:rPr>
          <w:rFonts w:ascii="黑体" w:hAnsi="黑体"/>
          <w:b w:val="0"/>
          <w:bCs w:val="0"/>
          <w:szCs w:val="32"/>
        </w:rPr>
      </w:pPr>
    </w:p>
    <w:p w:rsidR="009D15C7" w:rsidRDefault="00AA49B3">
      <w:pPr>
        <w:pStyle w:val="1"/>
        <w:ind w:firstLineChars="200" w:firstLine="640"/>
        <w:rPr>
          <w:rFonts w:ascii="黑体" w:hAnsi="黑体"/>
          <w:b w:val="0"/>
          <w:bCs w:val="0"/>
          <w:szCs w:val="32"/>
        </w:rPr>
      </w:pPr>
      <w:r>
        <w:rPr>
          <w:rFonts w:ascii="黑体" w:hAnsi="黑体" w:hint="eastAsia"/>
          <w:b w:val="0"/>
          <w:bCs w:val="0"/>
          <w:szCs w:val="32"/>
        </w:rPr>
        <w:t>一、</w:t>
      </w:r>
      <w:bookmarkEnd w:id="0"/>
      <w:r>
        <w:rPr>
          <w:rFonts w:ascii="黑体" w:hAnsi="黑体" w:hint="eastAsia"/>
          <w:b w:val="0"/>
          <w:bCs w:val="0"/>
          <w:szCs w:val="32"/>
        </w:rPr>
        <w:t>发展基础与环境形势</w:t>
      </w:r>
      <w:bookmarkEnd w:id="1"/>
      <w:bookmarkEnd w:id="2"/>
      <w:bookmarkEnd w:id="3"/>
    </w:p>
    <w:p w:rsidR="009D15C7" w:rsidRDefault="00AA49B3">
      <w:pPr>
        <w:pStyle w:val="2"/>
      </w:pPr>
      <w:bookmarkStart w:id="5" w:name="_Toc203381616"/>
      <w:bookmarkStart w:id="6" w:name="_Toc8296"/>
      <w:bookmarkStart w:id="7" w:name="_Toc5802"/>
      <w:bookmarkStart w:id="8" w:name="_Toc18340"/>
      <w:r>
        <w:rPr>
          <w:rFonts w:hint="eastAsia"/>
        </w:rPr>
        <w:t>（一）</w:t>
      </w:r>
      <w:bookmarkEnd w:id="5"/>
      <w:bookmarkEnd w:id="6"/>
      <w:bookmarkEnd w:id="7"/>
      <w:r>
        <w:rPr>
          <w:rFonts w:hint="eastAsia"/>
        </w:rPr>
        <w:t>发展基础</w:t>
      </w:r>
      <w:bookmarkEnd w:id="8"/>
    </w:p>
    <w:p w:rsidR="009D15C7" w:rsidRDefault="00AA49B3">
      <w:pPr>
        <w:ind w:firstLineChars="200" w:firstLine="640"/>
        <w:jc w:val="both"/>
        <w:rPr>
          <w:rFonts w:ascii="Times New Roman" w:hAnsi="Times New Roman" w:cs="Times New Roman"/>
          <w:szCs w:val="32"/>
          <w:lang w:val="zh-CN"/>
        </w:rPr>
      </w:pPr>
      <w:r>
        <w:rPr>
          <w:rFonts w:ascii="Times New Roman" w:hAnsi="Times New Roman" w:cs="Times New Roman" w:hint="eastAsia"/>
          <w:szCs w:val="32"/>
          <w:lang w:val="zh-CN"/>
        </w:rPr>
        <w:t>“十四五”</w:t>
      </w:r>
      <w:r>
        <w:rPr>
          <w:rFonts w:ascii="Times New Roman" w:hAnsi="Times New Roman" w:cs="Times New Roman" w:hint="eastAsia"/>
          <w:szCs w:val="32"/>
        </w:rPr>
        <w:t>期间</w:t>
      </w:r>
      <w:r>
        <w:rPr>
          <w:rFonts w:ascii="Times New Roman" w:hAnsi="Times New Roman" w:cs="Times New Roman" w:hint="eastAsia"/>
          <w:szCs w:val="32"/>
          <w:lang w:val="zh-CN"/>
        </w:rPr>
        <w:t>，面对复杂严峻的国内外形势和多重超预期因素冲击，全区</w:t>
      </w:r>
      <w:r>
        <w:rPr>
          <w:rFonts w:ascii="Times New Roman" w:hAnsi="Times New Roman" w:cs="Times New Roman" w:hint="eastAsia"/>
          <w:szCs w:val="32"/>
        </w:rPr>
        <w:t>统筹</w:t>
      </w:r>
      <w:r>
        <w:rPr>
          <w:rFonts w:ascii="Times New Roman" w:hAnsi="Times New Roman" w:cs="Times New Roman" w:hint="eastAsia"/>
          <w:szCs w:val="32"/>
          <w:lang w:val="zh-CN"/>
        </w:rPr>
        <w:t>推</w:t>
      </w:r>
      <w:r>
        <w:rPr>
          <w:rFonts w:ascii="Times New Roman" w:hAnsi="Times New Roman" w:cs="Times New Roman" w:hint="eastAsia"/>
          <w:szCs w:val="32"/>
        </w:rPr>
        <w:t>进</w:t>
      </w:r>
      <w:r>
        <w:rPr>
          <w:rFonts w:ascii="Times New Roman" w:hAnsi="Times New Roman" w:cs="Times New Roman" w:hint="eastAsia"/>
          <w:szCs w:val="32"/>
          <w:lang w:val="zh-CN"/>
        </w:rPr>
        <w:t>重点产业、重点区域和重大项目建设，经济发展质效</w:t>
      </w:r>
      <w:r>
        <w:rPr>
          <w:rFonts w:ascii="Times New Roman" w:hAnsi="Times New Roman" w:cs="Times New Roman" w:hint="eastAsia"/>
          <w:szCs w:val="32"/>
        </w:rPr>
        <w:t>持续</w:t>
      </w:r>
      <w:r>
        <w:rPr>
          <w:rFonts w:ascii="Times New Roman" w:hAnsi="Times New Roman" w:cs="Times New Roman" w:hint="eastAsia"/>
          <w:szCs w:val="32"/>
          <w:lang w:val="zh-CN"/>
        </w:rPr>
        <w:t>提升。</w:t>
      </w:r>
    </w:p>
    <w:p w:rsidR="009D15C7" w:rsidRDefault="00AA49B3" w:rsidP="00D9014E">
      <w:pPr>
        <w:ind w:firstLineChars="200" w:firstLine="643"/>
        <w:jc w:val="both"/>
        <w:rPr>
          <w:rFonts w:ascii="Times New Roman" w:hAnsi="Times New Roman" w:cs="Times New Roman"/>
          <w:b/>
          <w:bCs/>
          <w:szCs w:val="32"/>
        </w:rPr>
      </w:pPr>
      <w:r>
        <w:rPr>
          <w:rFonts w:ascii="仿宋_GB2312" w:hAnsi="楷体" w:cs="楷体" w:hint="eastAsia"/>
          <w:b/>
          <w:bCs/>
          <w:szCs w:val="32"/>
          <w:lang w:val="zh-CN"/>
        </w:rPr>
        <w:t>——产业规模大幅提升。</w:t>
      </w:r>
      <w:r>
        <w:rPr>
          <w:rFonts w:ascii="Times New Roman" w:hAnsi="Times New Roman" w:cs="Times New Roman" w:hint="eastAsia"/>
          <w:szCs w:val="32"/>
        </w:rPr>
        <w:t>地区生产总值突破</w:t>
      </w:r>
      <w:r>
        <w:rPr>
          <w:rFonts w:ascii="Times New Roman" w:hAnsi="Times New Roman" w:cs="Times New Roman" w:hint="eastAsia"/>
          <w:szCs w:val="32"/>
        </w:rPr>
        <w:t>4000</w:t>
      </w:r>
      <w:r>
        <w:rPr>
          <w:rFonts w:ascii="Times New Roman" w:hAnsi="Times New Roman" w:cs="Times New Roman" w:hint="eastAsia"/>
          <w:szCs w:val="32"/>
        </w:rPr>
        <w:t>亿元大关，跃居中心城区第一。规模以上服务业营业收入达</w:t>
      </w:r>
      <w:r>
        <w:rPr>
          <w:rFonts w:ascii="Times New Roman" w:hAnsi="Times New Roman" w:cs="Times New Roman" w:hint="eastAsia"/>
          <w:szCs w:val="32"/>
        </w:rPr>
        <w:t>5390.56</w:t>
      </w:r>
      <w:r>
        <w:rPr>
          <w:rFonts w:ascii="Times New Roman" w:hAnsi="Times New Roman" w:cs="Times New Roman" w:hint="eastAsia"/>
          <w:szCs w:val="32"/>
        </w:rPr>
        <w:t>亿元，年均增长</w:t>
      </w:r>
      <w:r>
        <w:rPr>
          <w:rFonts w:ascii="Times New Roman" w:hAnsi="Times New Roman" w:cs="Times New Roman" w:hint="eastAsia"/>
          <w:szCs w:val="32"/>
        </w:rPr>
        <w:t>9.2%</w:t>
      </w:r>
      <w:r>
        <w:rPr>
          <w:rFonts w:ascii="Times New Roman" w:hAnsi="Times New Roman" w:cs="Times New Roman" w:hint="eastAsia"/>
          <w:szCs w:val="32"/>
        </w:rPr>
        <w:t>，人工智能、生命健康、文化创意、科创金融等产业规模突破千亿。</w:t>
      </w:r>
    </w:p>
    <w:p w:rsidR="009D15C7" w:rsidRDefault="00AA49B3" w:rsidP="00D9014E">
      <w:pPr>
        <w:ind w:firstLineChars="200" w:firstLine="643"/>
        <w:jc w:val="both"/>
        <w:rPr>
          <w:rFonts w:ascii="Times New Roman" w:hAnsi="Times New Roman" w:cs="Times New Roman"/>
          <w:szCs w:val="32"/>
          <w:lang w:val="zh-CN"/>
        </w:rPr>
      </w:pPr>
      <w:r>
        <w:rPr>
          <w:rFonts w:ascii="仿宋_GB2312" w:hAnsi="楷体" w:cs="楷体" w:hint="eastAsia"/>
          <w:b/>
          <w:bCs/>
          <w:szCs w:val="32"/>
          <w:lang w:val="zh-CN"/>
        </w:rPr>
        <w:t>——产业品牌更加凸显。</w:t>
      </w:r>
      <w:r>
        <w:rPr>
          <w:rFonts w:ascii="Times New Roman" w:hAnsi="Times New Roman" w:cs="Times New Roman" w:hint="eastAsia"/>
          <w:szCs w:val="32"/>
        </w:rPr>
        <w:t>人工智能产业获评首批国家战略性新兴产业集群“优秀”等级，汇聚了</w:t>
      </w:r>
      <w:r>
        <w:rPr>
          <w:rFonts w:ascii="Times New Roman" w:hAnsi="Times New Roman" w:cs="Times New Roman" w:hint="eastAsia"/>
          <w:szCs w:val="32"/>
        </w:rPr>
        <w:t>1500</w:t>
      </w:r>
      <w:r>
        <w:rPr>
          <w:rFonts w:ascii="Times New Roman" w:hAnsi="Times New Roman" w:cs="Times New Roman" w:hint="eastAsia"/>
          <w:szCs w:val="32"/>
        </w:rPr>
        <w:t>余家人工智能企业、</w:t>
      </w:r>
      <w:r>
        <w:rPr>
          <w:rFonts w:ascii="Times New Roman" w:hAnsi="Times New Roman" w:cs="Times New Roman" w:hint="eastAsia"/>
          <w:szCs w:val="32"/>
        </w:rPr>
        <w:t>755</w:t>
      </w:r>
      <w:r>
        <w:rPr>
          <w:rFonts w:ascii="Times New Roman" w:hAnsi="Times New Roman" w:cs="Times New Roman" w:hint="eastAsia"/>
          <w:szCs w:val="32"/>
        </w:rPr>
        <w:t>家大模型企业和</w:t>
      </w:r>
      <w:r>
        <w:rPr>
          <w:rFonts w:ascii="Times New Roman" w:hAnsi="Times New Roman" w:cs="Times New Roman" w:hint="eastAsia"/>
          <w:szCs w:val="32"/>
        </w:rPr>
        <w:t>63</w:t>
      </w:r>
      <w:r>
        <w:rPr>
          <w:rFonts w:ascii="Times New Roman" w:hAnsi="Times New Roman" w:cs="Times New Roman" w:hint="eastAsia"/>
          <w:szCs w:val="32"/>
        </w:rPr>
        <w:t>个备案大模型（占全市</w:t>
      </w:r>
      <w:r>
        <w:rPr>
          <w:rFonts w:ascii="Times New Roman" w:hAnsi="Times New Roman" w:cs="Times New Roman" w:hint="eastAsia"/>
          <w:szCs w:val="32"/>
        </w:rPr>
        <w:t>61%</w:t>
      </w:r>
      <w:r>
        <w:rPr>
          <w:rFonts w:ascii="Times New Roman" w:hAnsi="Times New Roman" w:cs="Times New Roman" w:hint="eastAsia"/>
          <w:szCs w:val="32"/>
        </w:rPr>
        <w:t>）。模速空间入选“上海品牌”，</w:t>
      </w:r>
      <w:r>
        <w:rPr>
          <w:rFonts w:ascii="Times New Roman" w:hAnsi="Times New Roman" w:cs="Times New Roman" w:hint="eastAsia"/>
          <w:szCs w:val="32"/>
          <w:lang w:val="zh-CN"/>
        </w:rPr>
        <w:t>创成上海市生成式人工智能创新生态先导区、上海全球新品首发地示范区、首批国家文化和旅游产业融合发展示范区、</w:t>
      </w:r>
      <w:r>
        <w:rPr>
          <w:rFonts w:ascii="Times New Roman" w:hAnsi="Times New Roman" w:cs="Times New Roman" w:hint="eastAsia"/>
          <w:szCs w:val="32"/>
        </w:rPr>
        <w:t>首批股权投资集聚区、</w:t>
      </w:r>
      <w:r>
        <w:rPr>
          <w:rFonts w:ascii="Times New Roman" w:hAnsi="Times New Roman" w:cs="Times New Roman" w:hint="eastAsia"/>
          <w:szCs w:val="32"/>
          <w:lang w:val="zh-CN"/>
        </w:rPr>
        <w:t>国家普惠金融发展示范区。</w:t>
      </w:r>
    </w:p>
    <w:p w:rsidR="009D15C7" w:rsidRDefault="00AA49B3" w:rsidP="00D9014E">
      <w:pPr>
        <w:pStyle w:val="a3"/>
        <w:ind w:firstLineChars="200" w:firstLine="643"/>
        <w:jc w:val="both"/>
        <w:rPr>
          <w:rFonts w:ascii="Times New Roman" w:hAnsi="Times New Roman" w:cs="Times New Roman"/>
          <w:szCs w:val="32"/>
          <w:lang w:val="zh-CN"/>
        </w:rPr>
      </w:pPr>
      <w:r>
        <w:rPr>
          <w:rFonts w:ascii="仿宋_GB2312" w:hAnsi="楷体" w:cs="楷体" w:hint="eastAsia"/>
          <w:b/>
          <w:bCs/>
          <w:szCs w:val="32"/>
          <w:lang w:val="zh-CN"/>
        </w:rPr>
        <w:t>——创新发展愈加强劲。</w:t>
      </w:r>
      <w:r>
        <w:rPr>
          <w:rFonts w:ascii="Times New Roman" w:hAnsi="Times New Roman" w:cs="Times New Roman" w:hint="eastAsia"/>
          <w:szCs w:val="32"/>
        </w:rPr>
        <w:t>“</w:t>
      </w:r>
      <w:r>
        <w:rPr>
          <w:rFonts w:ascii="Times New Roman" w:hAnsi="Times New Roman" w:cs="Times New Roman" w:hint="eastAsia"/>
          <w:szCs w:val="32"/>
        </w:rPr>
        <w:t>1+6+N</w:t>
      </w:r>
      <w:r>
        <w:rPr>
          <w:rFonts w:ascii="Times New Roman" w:hAnsi="Times New Roman" w:cs="Times New Roman" w:hint="eastAsia"/>
          <w:szCs w:val="32"/>
        </w:rPr>
        <w:t>”科创空间布局加速形成</w:t>
      </w:r>
      <w:r>
        <w:rPr>
          <w:rFonts w:ascii="仿宋_GB2312" w:hAnsi="仿宋_GB2312" w:hint="eastAsia"/>
          <w:szCs w:val="32"/>
        </w:rPr>
        <w:t>，</w:t>
      </w:r>
      <w:r>
        <w:rPr>
          <w:rFonts w:ascii="Times New Roman" w:hAnsi="Times New Roman" w:cs="Times New Roman" w:hint="eastAsia"/>
          <w:szCs w:val="32"/>
        </w:rPr>
        <w:t>上海人工智能实验室、上海创智学院、香港科技大学上海产教融合中心落成投用。</w:t>
      </w:r>
      <w:r>
        <w:rPr>
          <w:rFonts w:ascii="Times New Roman" w:hAnsi="Times New Roman" w:cs="Times New Roman" w:hint="eastAsia"/>
          <w:szCs w:val="32"/>
          <w:lang w:val="zh-CN"/>
        </w:rPr>
        <w:t>科创主体加速集聚，高新技术企业达到</w:t>
      </w:r>
      <w:r>
        <w:rPr>
          <w:rFonts w:ascii="Times New Roman" w:hAnsi="Times New Roman" w:cs="Times New Roman" w:hint="eastAsia"/>
          <w:szCs w:val="32"/>
        </w:rPr>
        <w:t>808</w:t>
      </w:r>
      <w:r>
        <w:rPr>
          <w:rFonts w:ascii="Times New Roman" w:hAnsi="Times New Roman" w:cs="Times New Roman" w:hint="eastAsia"/>
          <w:szCs w:val="32"/>
          <w:lang w:val="zh-CN"/>
        </w:rPr>
        <w:t>家，国家及市级专精特新企业</w:t>
      </w:r>
      <w:r>
        <w:rPr>
          <w:rFonts w:ascii="Times New Roman" w:hAnsi="Times New Roman" w:cs="Times New Roman" w:hint="eastAsia"/>
          <w:szCs w:val="32"/>
          <w:lang w:val="zh-CN"/>
        </w:rPr>
        <w:t>4</w:t>
      </w:r>
      <w:r>
        <w:rPr>
          <w:rFonts w:ascii="Times New Roman" w:hAnsi="Times New Roman" w:cs="Times New Roman" w:hint="eastAsia"/>
          <w:szCs w:val="32"/>
        </w:rPr>
        <w:t>26</w:t>
      </w:r>
      <w:r>
        <w:rPr>
          <w:rFonts w:ascii="Times New Roman" w:hAnsi="Times New Roman" w:cs="Times New Roman" w:hint="eastAsia"/>
          <w:szCs w:val="32"/>
          <w:lang w:val="zh-CN"/>
        </w:rPr>
        <w:t>家，</w:t>
      </w:r>
      <w:r>
        <w:rPr>
          <w:rFonts w:ascii="Times New Roman" w:hAnsi="Times New Roman" w:cs="Times New Roman" w:hint="eastAsia"/>
          <w:szCs w:val="32"/>
        </w:rPr>
        <w:t>市级高</w:t>
      </w:r>
      <w:r>
        <w:rPr>
          <w:rFonts w:ascii="Times New Roman" w:hAnsi="Times New Roman" w:cs="Times New Roman" w:hint="eastAsia"/>
          <w:szCs w:val="32"/>
        </w:rPr>
        <w:lastRenderedPageBreak/>
        <w:t>质量孵化器数量位列全市第二</w:t>
      </w:r>
      <w:r>
        <w:rPr>
          <w:rFonts w:ascii="Times New Roman" w:hAnsi="Times New Roman" w:cs="Times New Roman" w:hint="eastAsia"/>
          <w:szCs w:val="32"/>
          <w:lang w:val="zh-CN"/>
        </w:rPr>
        <w:t>。</w:t>
      </w:r>
    </w:p>
    <w:p w:rsidR="009D15C7" w:rsidRDefault="00AA49B3" w:rsidP="00D9014E">
      <w:pPr>
        <w:pStyle w:val="a3"/>
        <w:ind w:firstLineChars="200" w:firstLine="643"/>
        <w:jc w:val="both"/>
        <w:rPr>
          <w:rFonts w:ascii="Times New Roman" w:hAnsi="Times New Roman" w:cs="Times New Roman"/>
          <w:szCs w:val="32"/>
        </w:rPr>
      </w:pPr>
      <w:r>
        <w:rPr>
          <w:rFonts w:ascii="仿宋_GB2312" w:hAnsi="楷体" w:cs="楷体" w:hint="eastAsia"/>
          <w:b/>
          <w:bCs/>
          <w:szCs w:val="32"/>
          <w:lang w:val="zh-CN"/>
        </w:rPr>
        <w:t>——开放发展成果丰硕。</w:t>
      </w:r>
      <w:r>
        <w:rPr>
          <w:rFonts w:ascii="Times New Roman" w:hAnsi="Times New Roman" w:cs="Times New Roman" w:hint="eastAsia"/>
          <w:szCs w:val="32"/>
        </w:rPr>
        <w:t>全区累计集聚跨国公司地区总部和外资研发中心</w:t>
      </w:r>
      <w:r>
        <w:rPr>
          <w:rFonts w:ascii="Times New Roman" w:hAnsi="Times New Roman" w:cs="Times New Roman" w:hint="eastAsia"/>
          <w:szCs w:val="32"/>
        </w:rPr>
        <w:t>175</w:t>
      </w:r>
      <w:r>
        <w:rPr>
          <w:rFonts w:ascii="Times New Roman" w:hAnsi="Times New Roman" w:cs="Times New Roman" w:hint="eastAsia"/>
          <w:szCs w:val="32"/>
        </w:rPr>
        <w:t>家，保持中心城区第一。组建“出海服务联盟”，</w:t>
      </w:r>
      <w:r>
        <w:rPr>
          <w:rFonts w:ascii="Times New Roman" w:hAnsi="Times New Roman" w:cs="Times New Roman" w:hint="eastAsia"/>
          <w:color w:val="000000" w:themeColor="text1"/>
          <w:szCs w:val="32"/>
        </w:rPr>
        <w:t>入选首批</w:t>
      </w:r>
      <w:r>
        <w:rPr>
          <w:rFonts w:ascii="Times New Roman" w:hAnsi="Times New Roman" w:cs="Times New Roman" w:hint="eastAsia"/>
          <w:color w:val="000000" w:themeColor="text1"/>
          <w:szCs w:val="32"/>
          <w:lang w:val="zh-CN"/>
        </w:rPr>
        <w:t>上海自贸</w:t>
      </w:r>
      <w:r>
        <w:rPr>
          <w:rFonts w:ascii="Times New Roman" w:hAnsi="Times New Roman" w:cs="Times New Roman" w:hint="eastAsia"/>
          <w:szCs w:val="32"/>
          <w:lang w:val="zh-CN"/>
        </w:rPr>
        <w:t>试验区联动创新区</w:t>
      </w:r>
      <w:r>
        <w:rPr>
          <w:rFonts w:ascii="Times New Roman" w:hAnsi="Times New Roman" w:cs="Times New Roman" w:hint="eastAsia"/>
          <w:szCs w:val="32"/>
        </w:rPr>
        <w:t>，</w:t>
      </w:r>
      <w:r>
        <w:rPr>
          <w:rFonts w:ascii="仿宋_GB2312" w:hAnsi="仿宋_GB2312" w:hint="eastAsia"/>
          <w:szCs w:val="32"/>
        </w:rPr>
        <w:t>中国－金砖国家人工智能发展与合作中心运营基地启用。</w:t>
      </w:r>
    </w:p>
    <w:p w:rsidR="009D15C7" w:rsidRDefault="00AA49B3" w:rsidP="00D9014E">
      <w:pPr>
        <w:ind w:firstLineChars="200" w:firstLine="643"/>
        <w:jc w:val="both"/>
        <w:rPr>
          <w:rFonts w:ascii="楷体" w:eastAsia="楷体" w:hAnsi="楷体" w:cs="楷体"/>
          <w:b/>
          <w:bCs/>
          <w:szCs w:val="32"/>
        </w:rPr>
      </w:pPr>
      <w:r>
        <w:rPr>
          <w:rFonts w:ascii="仿宋_GB2312" w:hAnsi="楷体" w:cs="楷体" w:hint="eastAsia"/>
          <w:b/>
          <w:bCs/>
          <w:szCs w:val="32"/>
          <w:lang w:val="zh-CN"/>
        </w:rPr>
        <w:t>——营商环境不断优化。</w:t>
      </w:r>
      <w:r>
        <w:rPr>
          <w:rFonts w:ascii="Times New Roman" w:hAnsi="Times New Roman" w:cs="Times New Roman" w:hint="eastAsia"/>
          <w:szCs w:val="32"/>
        </w:rPr>
        <w:t>在全市率先建立“企事快办”机制，搭建“</w:t>
      </w:r>
      <w:r>
        <w:rPr>
          <w:rFonts w:ascii="Times New Roman" w:hAnsi="Times New Roman" w:cs="Times New Roman" w:hint="eastAsia"/>
          <w:szCs w:val="32"/>
        </w:rPr>
        <w:t>13+8</w:t>
      </w:r>
      <w:r>
        <w:rPr>
          <w:rFonts w:ascii="Times New Roman" w:hAnsi="Times New Roman" w:cs="Times New Roman" w:hint="eastAsia"/>
          <w:szCs w:val="32"/>
        </w:rPr>
        <w:t>”线下服务站点，升级“重点企业服务包</w:t>
      </w:r>
      <w:r>
        <w:rPr>
          <w:rFonts w:ascii="Times New Roman" w:hAnsi="Times New Roman" w:cs="Times New Roman" w:hint="eastAsia"/>
          <w:szCs w:val="32"/>
        </w:rPr>
        <w:t>PLUS</w:t>
      </w:r>
      <w:r>
        <w:rPr>
          <w:rFonts w:ascii="Times New Roman" w:hAnsi="Times New Roman" w:cs="Times New Roman" w:hint="eastAsia"/>
          <w:szCs w:val="32"/>
        </w:rPr>
        <w:t>计划”，成立全市首个知识产权全链条保护中心，实施高成长企业“千帆计划”，近千家企业入库培育。</w:t>
      </w:r>
    </w:p>
    <w:p w:rsidR="009D15C7" w:rsidRDefault="00AA49B3">
      <w:pPr>
        <w:ind w:firstLineChars="200" w:firstLine="640"/>
        <w:jc w:val="both"/>
        <w:rPr>
          <w:rFonts w:ascii="Times New Roman" w:hAnsi="Times New Roman" w:cs="Times New Roman"/>
          <w:szCs w:val="32"/>
        </w:rPr>
      </w:pPr>
      <w:bookmarkStart w:id="9" w:name="_Hlk202630898"/>
      <w:r>
        <w:rPr>
          <w:rFonts w:ascii="Times New Roman" w:hAnsi="Times New Roman" w:cs="Times New Roman"/>
          <w:szCs w:val="32"/>
        </w:rPr>
        <w:t>但也要看到</w:t>
      </w:r>
      <w:r>
        <w:rPr>
          <w:rFonts w:ascii="Times New Roman" w:hAnsi="Times New Roman" w:cs="Times New Roman" w:hint="eastAsia"/>
          <w:szCs w:val="32"/>
        </w:rPr>
        <w:t>，徐汇区仍面临一些结构性问题和挑战：</w:t>
      </w:r>
      <w:r>
        <w:rPr>
          <w:rFonts w:ascii="Times New Roman" w:hAnsi="Times New Roman" w:cs="Times New Roman" w:hint="eastAsia"/>
          <w:b/>
          <w:bCs/>
          <w:szCs w:val="32"/>
        </w:rPr>
        <w:t>新兴产业支撑作用有待加强，</w:t>
      </w:r>
      <w:r>
        <w:rPr>
          <w:rFonts w:ascii="Times New Roman" w:hAnsi="Times New Roman" w:cs="Times New Roman" w:hint="eastAsia"/>
          <w:szCs w:val="32"/>
        </w:rPr>
        <w:t>人工智能关键战略领域缺少“爆款”产品与“现象级”企业，未来产业短期内尚未形成支撑作用。</w:t>
      </w:r>
      <w:r>
        <w:rPr>
          <w:rFonts w:ascii="Times New Roman" w:hAnsi="Times New Roman" w:cs="Times New Roman" w:hint="eastAsia"/>
          <w:b/>
          <w:bCs/>
          <w:szCs w:val="32"/>
        </w:rPr>
        <w:t>创新策源与成果转化生态有待完善，</w:t>
      </w:r>
      <w:r>
        <w:rPr>
          <w:rFonts w:ascii="Times New Roman" w:hAnsi="Times New Roman" w:cs="Times New Roman" w:hint="eastAsia"/>
          <w:szCs w:val="32"/>
        </w:rPr>
        <w:t>基础模型全球影响力存在差距，国家级创新平台、科创街区等载体外溢效益尚未完全显现，大院大所成果本地转化率不高。</w:t>
      </w:r>
      <w:r>
        <w:rPr>
          <w:rFonts w:ascii="Times New Roman" w:hAnsi="Times New Roman" w:cs="Times New Roman" w:hint="eastAsia"/>
          <w:b/>
          <w:bCs/>
          <w:szCs w:val="32"/>
        </w:rPr>
        <w:t>产业生态赋能效应有待释放，</w:t>
      </w:r>
      <w:r>
        <w:rPr>
          <w:rFonts w:ascii="Times New Roman" w:hAnsi="Times New Roman" w:cs="Times New Roman" w:hint="eastAsia"/>
          <w:szCs w:val="32"/>
        </w:rPr>
        <w:t>市场主体集聚度与能级偏弱，中小企业占比较高，外贸依存度较高，产业载体适配性仍有不足。</w:t>
      </w:r>
    </w:p>
    <w:p w:rsidR="009D15C7" w:rsidRDefault="00AA49B3">
      <w:pPr>
        <w:pStyle w:val="2"/>
      </w:pPr>
      <w:bookmarkStart w:id="10" w:name="_Toc12216"/>
      <w:bookmarkStart w:id="11" w:name="_Toc13389"/>
      <w:bookmarkStart w:id="12" w:name="_Toc27319"/>
      <w:bookmarkStart w:id="13" w:name="_Hlk200615727"/>
      <w:bookmarkStart w:id="14" w:name="_Hlk202702818"/>
      <w:bookmarkEnd w:id="9"/>
      <w:r>
        <w:rPr>
          <w:rFonts w:hint="eastAsia"/>
        </w:rPr>
        <w:t>（二）形势</w:t>
      </w:r>
      <w:bookmarkEnd w:id="10"/>
      <w:bookmarkEnd w:id="11"/>
      <w:r>
        <w:rPr>
          <w:rFonts w:hint="eastAsia"/>
        </w:rPr>
        <w:t>与挑战</w:t>
      </w:r>
      <w:bookmarkEnd w:id="12"/>
    </w:p>
    <w:p w:rsidR="009D15C7" w:rsidRDefault="00AA49B3">
      <w:pPr>
        <w:widowControl/>
        <w:ind w:firstLineChars="200" w:firstLine="640"/>
        <w:rPr>
          <w:rFonts w:ascii="Times New Roman" w:hAnsi="Times New Roman" w:cs="Times New Roman"/>
          <w:szCs w:val="32"/>
        </w:rPr>
      </w:pPr>
      <w:bookmarkStart w:id="15" w:name="_Toc203381627"/>
      <w:r>
        <w:rPr>
          <w:rFonts w:ascii="Times New Roman" w:hAnsi="Times New Roman" w:cs="Times New Roman" w:hint="eastAsia"/>
          <w:szCs w:val="32"/>
        </w:rPr>
        <w:t>我国发展处于战略机遇和风险挑战并存、不确定难预料因素增多的时期，</w:t>
      </w:r>
      <w:bookmarkEnd w:id="13"/>
      <w:bookmarkEnd w:id="15"/>
      <w:r>
        <w:rPr>
          <w:rFonts w:ascii="Times New Roman" w:hAnsi="Times New Roman" w:cs="Times New Roman" w:hint="eastAsia"/>
          <w:szCs w:val="32"/>
        </w:rPr>
        <w:t>大国战略竞争加剧，国内经济转向高质量发展，科技创新成为产业发展的核心引擎</w:t>
      </w:r>
      <w:r>
        <w:rPr>
          <w:rFonts w:ascii="Times New Roman" w:hAnsi="Times New Roman" w:cs="Times New Roman" w:hint="eastAsia"/>
          <w:szCs w:val="32"/>
          <w:lang w:val="zh-CN"/>
        </w:rPr>
        <w:t>，</w:t>
      </w:r>
      <w:r>
        <w:rPr>
          <w:rFonts w:ascii="Times New Roman" w:hAnsi="Times New Roman" w:cs="Times New Roman" w:hint="eastAsia"/>
          <w:szCs w:val="32"/>
        </w:rPr>
        <w:t>推动</w:t>
      </w:r>
      <w:r>
        <w:rPr>
          <w:rFonts w:ascii="Times New Roman" w:hAnsi="Times New Roman" w:cs="Times New Roman" w:hint="eastAsia"/>
          <w:szCs w:val="32"/>
          <w:lang w:val="zh-CN"/>
        </w:rPr>
        <w:t>产业结构优化升级。</w:t>
      </w:r>
      <w:r>
        <w:rPr>
          <w:rFonts w:ascii="Times New Roman" w:hAnsi="Times New Roman" w:cs="Times New Roman" w:hint="eastAsia"/>
          <w:szCs w:val="32"/>
        </w:rPr>
        <w:t>作为我国改革开放的前沿阵地和深度链接全球的国际大都市，上海立足“四个放在”战略定位，加快建设“五</w:t>
      </w:r>
      <w:r>
        <w:rPr>
          <w:rFonts w:ascii="Times New Roman" w:hAnsi="Times New Roman" w:cs="Times New Roman" w:hint="eastAsia"/>
          <w:szCs w:val="32"/>
        </w:rPr>
        <w:lastRenderedPageBreak/>
        <w:t>个中心”，推进首创性改革与引领性开放，加速城市功能进阶升级。“十五五”时期，</w:t>
      </w:r>
      <w:r>
        <w:rPr>
          <w:rFonts w:ascii="Times New Roman" w:hAnsi="Times New Roman" w:cs="Times New Roman" w:hint="eastAsia"/>
          <w:szCs w:val="32"/>
          <w:lang w:val="zh-CN"/>
        </w:rPr>
        <w:t>是</w:t>
      </w:r>
      <w:r>
        <w:rPr>
          <w:rFonts w:ascii="Times New Roman" w:hAnsi="Times New Roman" w:cs="Times New Roman" w:hint="eastAsia"/>
          <w:szCs w:val="32"/>
        </w:rPr>
        <w:t>徐汇区</w:t>
      </w:r>
      <w:r>
        <w:rPr>
          <w:rFonts w:ascii="Times New Roman" w:hAnsi="Times New Roman" w:cs="Times New Roman" w:hint="eastAsia"/>
          <w:szCs w:val="32"/>
          <w:lang w:val="zh-CN"/>
        </w:rPr>
        <w:t>打造中心城区高质量发展样板、谱写中国式现代化徐汇篇章的重要机遇期</w:t>
      </w:r>
      <w:r>
        <w:rPr>
          <w:rFonts w:ascii="Times New Roman" w:hAnsi="Times New Roman" w:cs="Times New Roman" w:hint="eastAsia"/>
          <w:szCs w:val="32"/>
        </w:rPr>
        <w:t>，赋予徐汇以人工智能引领科研范式变革，抢占科技制高点，构筑未来竞争新优势，走出一条产业提质与生态良好协同并进的发展新路。</w:t>
      </w:r>
    </w:p>
    <w:p w:rsidR="009D15C7" w:rsidRDefault="00AA49B3">
      <w:pPr>
        <w:pStyle w:val="1"/>
        <w:ind w:firstLineChars="200" w:firstLine="640"/>
        <w:jc w:val="both"/>
        <w:rPr>
          <w:rFonts w:ascii="黑体" w:hAnsi="黑体"/>
          <w:b w:val="0"/>
          <w:bCs w:val="0"/>
          <w:szCs w:val="32"/>
        </w:rPr>
      </w:pPr>
      <w:bookmarkStart w:id="16" w:name="_Toc206608356"/>
      <w:bookmarkStart w:id="17" w:name="_Toc7858"/>
      <w:bookmarkStart w:id="18" w:name="_Toc25351"/>
      <w:bookmarkStart w:id="19" w:name="_Toc30923"/>
      <w:bookmarkEnd w:id="14"/>
      <w:r>
        <w:rPr>
          <w:rFonts w:ascii="黑体" w:hAnsi="黑体" w:hint="eastAsia"/>
          <w:b w:val="0"/>
          <w:bCs w:val="0"/>
          <w:szCs w:val="32"/>
        </w:rPr>
        <w:t>二、发展目标</w:t>
      </w:r>
      <w:bookmarkEnd w:id="16"/>
      <w:bookmarkEnd w:id="17"/>
      <w:bookmarkEnd w:id="18"/>
      <w:bookmarkEnd w:id="19"/>
    </w:p>
    <w:p w:rsidR="009D15C7" w:rsidRDefault="00AA49B3">
      <w:pPr>
        <w:ind w:firstLineChars="200" w:firstLine="640"/>
        <w:jc w:val="both"/>
        <w:rPr>
          <w:rFonts w:ascii="Times New Roman" w:hAnsi="Times New Roman" w:cs="Times New Roman"/>
          <w:szCs w:val="32"/>
        </w:rPr>
      </w:pPr>
      <w:r>
        <w:rPr>
          <w:rFonts w:ascii="Times New Roman" w:hAnsi="Times New Roman" w:cs="Times New Roman" w:hint="eastAsia"/>
          <w:szCs w:val="32"/>
        </w:rPr>
        <w:t>发挥徐汇区丰富的战略科技策源和引领功能，全力打造具有全球影响力的智能经济引领区、新兴产业集聚区、前沿产业先导区。</w:t>
      </w:r>
    </w:p>
    <w:p w:rsidR="009D15C7" w:rsidRDefault="00AA49B3" w:rsidP="00D9014E">
      <w:pPr>
        <w:pStyle w:val="a3"/>
        <w:ind w:firstLineChars="200" w:firstLine="643"/>
        <w:jc w:val="both"/>
        <w:rPr>
          <w:szCs w:val="32"/>
        </w:rPr>
      </w:pPr>
      <w:r>
        <w:rPr>
          <w:rFonts w:ascii="楷体" w:eastAsia="楷体" w:hAnsi="楷体" w:cs="楷体" w:hint="eastAsia"/>
          <w:b/>
          <w:bCs/>
          <w:szCs w:val="32"/>
        </w:rPr>
        <w:t>——产业格局全面构建，综合实力更加突出。</w:t>
      </w:r>
      <w:r>
        <w:rPr>
          <w:rFonts w:ascii="Times New Roman" w:hAnsi="Times New Roman" w:cs="Times New Roman" w:hint="eastAsia"/>
          <w:szCs w:val="32"/>
        </w:rPr>
        <w:t>大力发展人工智能先导产业，全力打造现代商贸、文化创意、生命健康、专业服务、科创金融五大优势产业，积极培育未来制造、区块链、合成生物、量子科技、先进核能等</w:t>
      </w:r>
      <w:r>
        <w:rPr>
          <w:rFonts w:ascii="Times New Roman" w:hAnsi="Times New Roman" w:cs="Times New Roman" w:hint="eastAsia"/>
          <w:szCs w:val="32"/>
        </w:rPr>
        <w:t>X</w:t>
      </w:r>
      <w:r>
        <w:rPr>
          <w:rFonts w:ascii="Times New Roman" w:hAnsi="Times New Roman" w:cs="Times New Roman" w:hint="eastAsia"/>
          <w:szCs w:val="32"/>
        </w:rPr>
        <w:t>个未来产业，形成引领性强、辐射力广、品牌力优的“</w:t>
      </w:r>
      <w:r>
        <w:rPr>
          <w:rFonts w:ascii="Times New Roman" w:hAnsi="Times New Roman" w:cs="Times New Roman" w:hint="eastAsia"/>
          <w:szCs w:val="32"/>
        </w:rPr>
        <w:t>1+5+X</w:t>
      </w:r>
      <w:r>
        <w:rPr>
          <w:rFonts w:ascii="Times New Roman" w:hAnsi="Times New Roman" w:cs="Times New Roman" w:hint="eastAsia"/>
          <w:szCs w:val="32"/>
        </w:rPr>
        <w:t>”现代化产业格局，全力冲刺中心城区首个五千亿级经济强区。</w:t>
      </w:r>
    </w:p>
    <w:p w:rsidR="009D15C7" w:rsidRDefault="00AA49B3" w:rsidP="00D9014E">
      <w:pPr>
        <w:ind w:firstLineChars="200" w:firstLine="643"/>
        <w:jc w:val="both"/>
        <w:rPr>
          <w:rFonts w:ascii="Times New Roman" w:hAnsi="Times New Roman" w:cs="Times New Roman"/>
          <w:szCs w:val="32"/>
        </w:rPr>
      </w:pPr>
      <w:r>
        <w:rPr>
          <w:rFonts w:ascii="楷体" w:eastAsia="楷体" w:hAnsi="楷体" w:cs="楷体" w:hint="eastAsia"/>
          <w:b/>
          <w:bCs/>
          <w:szCs w:val="32"/>
        </w:rPr>
        <w:t>——产业集群协同发展，规模能级再上台阶。</w:t>
      </w:r>
      <w:r>
        <w:rPr>
          <w:rFonts w:ascii="Times New Roman" w:hAnsi="Times New Roman" w:cs="Times New Roman" w:hint="eastAsia"/>
          <w:szCs w:val="32"/>
        </w:rPr>
        <w:t>持续推动产业集聚发展，形成传统产业转型升级成效显著、新兴产业培育壮大加快推进、未来产业超前布局稳步实施的产业集群。到</w:t>
      </w:r>
      <w:r>
        <w:rPr>
          <w:rFonts w:ascii="Times New Roman" w:hAnsi="Times New Roman" w:cs="Times New Roman" w:hint="eastAsia"/>
          <w:szCs w:val="32"/>
        </w:rPr>
        <w:t>2030</w:t>
      </w:r>
      <w:r>
        <w:rPr>
          <w:rFonts w:ascii="Times New Roman" w:hAnsi="Times New Roman" w:cs="Times New Roman" w:hint="eastAsia"/>
          <w:szCs w:val="32"/>
        </w:rPr>
        <w:t>年，</w:t>
      </w:r>
      <w:r>
        <w:rPr>
          <w:rFonts w:ascii="仿宋_GB2312" w:hAnsi="仿宋_GB2312" w:cs="仿宋_GB2312" w:hint="eastAsia"/>
          <w:szCs w:val="32"/>
        </w:rPr>
        <w:t>人工智能核心产业规模突破2000亿元，五大优势产业规模迈上新台阶。</w:t>
      </w:r>
    </w:p>
    <w:p w:rsidR="009D15C7" w:rsidRDefault="00AA49B3" w:rsidP="00D9014E">
      <w:pPr>
        <w:ind w:firstLineChars="200" w:firstLine="643"/>
        <w:jc w:val="both"/>
        <w:rPr>
          <w:rFonts w:ascii="Times New Roman" w:hAnsi="Times New Roman" w:cs="Times New Roman"/>
          <w:szCs w:val="32"/>
        </w:rPr>
      </w:pPr>
      <w:r>
        <w:rPr>
          <w:rFonts w:ascii="楷体" w:eastAsia="楷体" w:hAnsi="楷体" w:cs="楷体" w:hint="eastAsia"/>
          <w:b/>
          <w:bCs/>
          <w:szCs w:val="32"/>
        </w:rPr>
        <w:t>——创新生态加快培育，科创城区稳步创建。</w:t>
      </w:r>
      <w:r>
        <w:rPr>
          <w:rFonts w:ascii="Times New Roman" w:hAnsi="Times New Roman" w:cs="Times New Roman" w:hint="eastAsia"/>
          <w:szCs w:val="32"/>
        </w:rPr>
        <w:t>全社会研发经费支出相当于地区生产总值比例达到</w:t>
      </w:r>
      <w:r>
        <w:rPr>
          <w:rFonts w:ascii="Times New Roman" w:hAnsi="Times New Roman" w:cs="Times New Roman" w:hint="eastAsia"/>
          <w:szCs w:val="32"/>
        </w:rPr>
        <w:t>6.7%</w:t>
      </w:r>
      <w:r>
        <w:rPr>
          <w:rFonts w:ascii="Times New Roman" w:hAnsi="Times New Roman" w:cs="Times New Roman" w:hint="eastAsia"/>
          <w:szCs w:val="32"/>
        </w:rPr>
        <w:t>左右，基本建</w:t>
      </w:r>
      <w:r>
        <w:rPr>
          <w:rFonts w:ascii="Times New Roman" w:hAnsi="Times New Roman" w:cs="Times New Roman" w:hint="eastAsia"/>
          <w:szCs w:val="32"/>
        </w:rPr>
        <w:lastRenderedPageBreak/>
        <w:t>立国际化的产业科研生态，将徐汇区打造成为国际知名的科创城区，为新质生产力发展蓄积科研优势。</w:t>
      </w:r>
    </w:p>
    <w:p w:rsidR="009D15C7" w:rsidRDefault="00AA49B3" w:rsidP="00D9014E">
      <w:pPr>
        <w:pStyle w:val="21"/>
        <w:keepNext/>
        <w:spacing w:after="0"/>
        <w:ind w:leftChars="0" w:left="0" w:firstLineChars="200" w:firstLine="643"/>
        <w:jc w:val="both"/>
        <w:rPr>
          <w:rFonts w:ascii="Times New Roman" w:hAnsi="Times New Roman" w:cs="Times New Roman"/>
          <w:szCs w:val="32"/>
        </w:rPr>
      </w:pPr>
      <w:r>
        <w:rPr>
          <w:rFonts w:ascii="楷体" w:eastAsia="楷体" w:hAnsi="楷体" w:cs="楷体" w:hint="eastAsia"/>
          <w:b/>
          <w:bCs/>
          <w:szCs w:val="32"/>
        </w:rPr>
        <w:t>——营商环境持续优化，市场活力竞相迸发。</w:t>
      </w:r>
      <w:r>
        <w:rPr>
          <w:rFonts w:ascii="Times New Roman" w:hAnsi="Times New Roman" w:cs="Times New Roman" w:hint="eastAsia"/>
          <w:szCs w:val="32"/>
        </w:rPr>
        <w:t>持续打造市场化、法治化、国际化一流营商环境，实现发展要素更集聚、政策环境更透明、企业服务更优质、监管执法更高效，企业感受持续提升。</w:t>
      </w:r>
    </w:p>
    <w:p w:rsidR="009D15C7" w:rsidRDefault="00AA49B3">
      <w:pPr>
        <w:jc w:val="center"/>
        <w:rPr>
          <w:rFonts w:ascii="黑体" w:eastAsia="黑体" w:hAnsi="黑体" w:cs="黑体"/>
          <w:sz w:val="20"/>
          <w:szCs w:val="20"/>
        </w:rPr>
      </w:pPr>
      <w:r>
        <w:rPr>
          <w:rFonts w:ascii="黑体" w:eastAsia="黑体" w:hAnsi="黑体" w:cs="黑体" w:hint="eastAsia"/>
          <w:sz w:val="20"/>
          <w:szCs w:val="20"/>
        </w:rPr>
        <w:t>徐汇区“十五五”产业高质量发展主要指标表</w:t>
      </w:r>
    </w:p>
    <w:tbl>
      <w:tblPr>
        <w:tblStyle w:val="af"/>
        <w:tblW w:w="7954" w:type="dxa"/>
        <w:tblLayout w:type="fixed"/>
        <w:tblLook w:val="04A0" w:firstRow="1" w:lastRow="0" w:firstColumn="1" w:lastColumn="0" w:noHBand="0" w:noVBand="1"/>
      </w:tblPr>
      <w:tblGrid>
        <w:gridCol w:w="731"/>
        <w:gridCol w:w="731"/>
        <w:gridCol w:w="4108"/>
        <w:gridCol w:w="996"/>
        <w:gridCol w:w="1388"/>
      </w:tblGrid>
      <w:tr w:rsidR="009D15C7">
        <w:trPr>
          <w:trHeight w:val="258"/>
        </w:trPr>
        <w:tc>
          <w:tcPr>
            <w:tcW w:w="731" w:type="dxa"/>
            <w:vAlign w:val="center"/>
          </w:tcPr>
          <w:p w:rsidR="009D15C7" w:rsidRDefault="00AA49B3">
            <w:pPr>
              <w:widowControl/>
              <w:snapToGrid w:val="0"/>
              <w:spacing w:line="240" w:lineRule="auto"/>
              <w:jc w:val="center"/>
              <w:textAlignment w:val="center"/>
              <w:rPr>
                <w:rFonts w:ascii="宋体" w:eastAsia="宋体" w:hAnsi="宋体" w:cs="宋体"/>
                <w:b/>
                <w:bCs/>
                <w:color w:val="000000"/>
                <w:kern w:val="0"/>
                <w:sz w:val="21"/>
                <w:szCs w:val="21"/>
                <w:lang w:bidi="ar"/>
              </w:rPr>
            </w:pPr>
            <w:bookmarkStart w:id="20" w:name="_Toc3416"/>
            <w:bookmarkStart w:id="21" w:name="_Toc12124"/>
            <w:r>
              <w:rPr>
                <w:rFonts w:ascii="宋体" w:eastAsia="宋体" w:hAnsi="宋体" w:cs="宋体" w:hint="eastAsia"/>
                <w:b/>
                <w:bCs/>
                <w:color w:val="000000"/>
                <w:kern w:val="0"/>
                <w:sz w:val="21"/>
                <w:szCs w:val="21"/>
                <w:lang w:bidi="ar"/>
              </w:rPr>
              <w:t>序号</w:t>
            </w:r>
          </w:p>
        </w:tc>
        <w:tc>
          <w:tcPr>
            <w:tcW w:w="731" w:type="dxa"/>
            <w:vAlign w:val="center"/>
          </w:tcPr>
          <w:p w:rsidR="009D15C7" w:rsidRDefault="00AA49B3">
            <w:pPr>
              <w:widowControl/>
              <w:snapToGrid w:val="0"/>
              <w:spacing w:line="240" w:lineRule="auto"/>
              <w:jc w:val="center"/>
              <w:textAlignment w:val="center"/>
              <w:rPr>
                <w:rFonts w:ascii="宋体" w:eastAsia="宋体" w:hAnsi="宋体" w:cs="宋体"/>
                <w:b/>
                <w:bCs/>
                <w:color w:val="000000"/>
                <w:sz w:val="21"/>
                <w:szCs w:val="21"/>
              </w:rPr>
            </w:pPr>
            <w:r>
              <w:rPr>
                <w:rFonts w:ascii="宋体" w:eastAsia="宋体" w:hAnsi="宋体" w:cs="宋体" w:hint="eastAsia"/>
                <w:b/>
                <w:bCs/>
                <w:color w:val="000000"/>
                <w:kern w:val="0"/>
                <w:sz w:val="21"/>
                <w:szCs w:val="21"/>
                <w:lang w:bidi="ar"/>
              </w:rPr>
              <w:t>类别</w:t>
            </w:r>
          </w:p>
        </w:tc>
        <w:tc>
          <w:tcPr>
            <w:tcW w:w="4108" w:type="dxa"/>
            <w:vAlign w:val="center"/>
          </w:tcPr>
          <w:p w:rsidR="009D15C7" w:rsidRDefault="00AA49B3">
            <w:pPr>
              <w:widowControl/>
              <w:snapToGrid w:val="0"/>
              <w:spacing w:line="240" w:lineRule="auto"/>
              <w:jc w:val="center"/>
              <w:textAlignment w:val="center"/>
              <w:rPr>
                <w:rFonts w:ascii="宋体" w:eastAsia="宋体" w:hAnsi="宋体" w:cs="宋体"/>
                <w:b/>
                <w:bCs/>
                <w:color w:val="000000"/>
                <w:sz w:val="21"/>
                <w:szCs w:val="21"/>
              </w:rPr>
            </w:pPr>
            <w:r>
              <w:rPr>
                <w:rFonts w:ascii="宋体" w:eastAsia="宋体" w:hAnsi="宋体" w:cs="宋体" w:hint="eastAsia"/>
                <w:b/>
                <w:bCs/>
                <w:color w:val="000000"/>
                <w:kern w:val="0"/>
                <w:sz w:val="21"/>
                <w:szCs w:val="21"/>
                <w:lang w:bidi="ar"/>
              </w:rPr>
              <w:t>指标</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b/>
                <w:bCs/>
                <w:color w:val="000000"/>
                <w:sz w:val="21"/>
                <w:szCs w:val="21"/>
              </w:rPr>
            </w:pPr>
            <w:r>
              <w:rPr>
                <w:rFonts w:ascii="宋体" w:eastAsia="宋体" w:hAnsi="宋体" w:cs="宋体" w:hint="eastAsia"/>
                <w:b/>
                <w:bCs/>
                <w:color w:val="000000"/>
                <w:kern w:val="0"/>
                <w:sz w:val="21"/>
                <w:szCs w:val="21"/>
                <w:lang w:bidi="ar"/>
              </w:rPr>
              <w:t>2030年</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b/>
                <w:bCs/>
                <w:color w:val="000000"/>
                <w:kern w:val="0"/>
                <w:sz w:val="21"/>
                <w:szCs w:val="21"/>
                <w:lang w:bidi="ar"/>
              </w:rPr>
            </w:pPr>
            <w:r>
              <w:rPr>
                <w:rFonts w:ascii="宋体" w:eastAsia="宋体" w:hAnsi="宋体" w:cs="宋体" w:hint="eastAsia"/>
                <w:b/>
                <w:bCs/>
                <w:color w:val="000000"/>
                <w:kern w:val="0"/>
                <w:sz w:val="21"/>
                <w:szCs w:val="21"/>
                <w:lang w:bidi="ar"/>
              </w:rPr>
              <w:t>增幅/增量</w:t>
            </w:r>
          </w:p>
        </w:tc>
      </w:tr>
      <w:tr w:rsidR="009D15C7">
        <w:trPr>
          <w:trHeight w:val="90"/>
        </w:trPr>
        <w:tc>
          <w:tcPr>
            <w:tcW w:w="731" w:type="dxa"/>
            <w:vAlign w:val="center"/>
          </w:tcPr>
          <w:p w:rsidR="009D15C7" w:rsidRDefault="00AA49B3">
            <w:pPr>
              <w:spacing w:line="240" w:lineRule="auto"/>
              <w:jc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1</w:t>
            </w:r>
          </w:p>
        </w:tc>
        <w:tc>
          <w:tcPr>
            <w:tcW w:w="731" w:type="dxa"/>
            <w:vMerge w:val="restart"/>
            <w:vAlign w:val="center"/>
          </w:tcPr>
          <w:p w:rsidR="009D15C7" w:rsidRDefault="00AA49B3">
            <w:pPr>
              <w:spacing w:line="240" w:lineRule="auto"/>
              <w:jc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规模</w:t>
            </w:r>
          </w:p>
          <w:p w:rsidR="009D15C7" w:rsidRDefault="00AA49B3">
            <w:pPr>
              <w:spacing w:line="240" w:lineRule="auto"/>
              <w:jc w:val="center"/>
              <w:rPr>
                <w:rFonts w:ascii="宋体" w:eastAsia="宋体" w:hAnsi="宋体" w:cs="宋体"/>
                <w:sz w:val="21"/>
                <w:szCs w:val="21"/>
              </w:rPr>
            </w:pPr>
            <w:r>
              <w:rPr>
                <w:rFonts w:ascii="宋体" w:eastAsia="宋体" w:hAnsi="宋体" w:cs="宋体" w:hint="eastAsia"/>
                <w:color w:val="000000"/>
                <w:kern w:val="0"/>
                <w:sz w:val="21"/>
                <w:szCs w:val="21"/>
                <w:lang w:bidi="ar"/>
              </w:rPr>
              <w:t>能级</w:t>
            </w: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规模以上服务业营业收入（亿元）</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8600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10%</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2</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人工智能核心产业规模（亿元）</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2000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15%</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3</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限额以上商品销售总额（亿元）</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10000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5.5%</w:t>
            </w:r>
          </w:p>
        </w:tc>
      </w:tr>
      <w:tr w:rsidR="009D15C7">
        <w:trPr>
          <w:trHeight w:val="293"/>
        </w:trPr>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4</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文化创意产业规模（亿元）</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2000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3.9%</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5</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生命健康产业规模（亿元）</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1400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5%</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6</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专业服务业营业收入（亿元）</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2200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7.9%</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7</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科创金融业营业收入（亿元）</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1300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6%-8%</w:t>
            </w:r>
          </w:p>
        </w:tc>
      </w:tr>
      <w:tr w:rsidR="009D15C7">
        <w:tc>
          <w:tcPr>
            <w:tcW w:w="731" w:type="dxa"/>
            <w:vAlign w:val="center"/>
          </w:tcPr>
          <w:p w:rsidR="009D15C7" w:rsidRDefault="00AA49B3">
            <w:pPr>
              <w:spacing w:line="240" w:lineRule="auto"/>
              <w:jc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8</w:t>
            </w:r>
          </w:p>
        </w:tc>
        <w:tc>
          <w:tcPr>
            <w:tcW w:w="731" w:type="dxa"/>
            <w:vMerge w:val="restart"/>
            <w:vAlign w:val="center"/>
          </w:tcPr>
          <w:p w:rsidR="009D15C7" w:rsidRDefault="00AA49B3">
            <w:pPr>
              <w:spacing w:line="240" w:lineRule="auto"/>
              <w:jc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发展</w:t>
            </w:r>
          </w:p>
          <w:p w:rsidR="009D15C7" w:rsidRDefault="00AA49B3">
            <w:pPr>
              <w:spacing w:line="240" w:lineRule="auto"/>
              <w:jc w:val="center"/>
              <w:rPr>
                <w:rFonts w:ascii="宋体" w:eastAsia="宋体" w:hAnsi="宋体" w:cs="宋体"/>
                <w:sz w:val="21"/>
                <w:szCs w:val="21"/>
              </w:rPr>
            </w:pPr>
            <w:r>
              <w:rPr>
                <w:rFonts w:ascii="宋体" w:eastAsia="宋体" w:hAnsi="宋体" w:cs="宋体" w:hint="eastAsia"/>
                <w:color w:val="000000"/>
                <w:kern w:val="0"/>
                <w:sz w:val="21"/>
                <w:szCs w:val="21"/>
                <w:lang w:bidi="ar"/>
              </w:rPr>
              <w:t>质效</w:t>
            </w: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服务业战略性新兴产业营业收入占规模以上服务业营业收入比重（%）</w:t>
            </w:r>
          </w:p>
        </w:tc>
        <w:tc>
          <w:tcPr>
            <w:tcW w:w="996" w:type="dxa"/>
            <w:vAlign w:val="center"/>
          </w:tcPr>
          <w:p w:rsidR="009D15C7" w:rsidRDefault="00AA49B3">
            <w:pPr>
              <w:widowControl/>
              <w:snapToGrid w:val="0"/>
              <w:spacing w:line="240" w:lineRule="auto"/>
              <w:jc w:val="center"/>
              <w:rPr>
                <w:rFonts w:ascii="宋体" w:eastAsia="宋体" w:hAnsi="宋体" w:cs="宋体"/>
                <w:color w:val="000000"/>
                <w:sz w:val="21"/>
                <w:szCs w:val="21"/>
              </w:rPr>
            </w:pPr>
            <w:r>
              <w:rPr>
                <w:rFonts w:ascii="宋体" w:eastAsia="宋体" w:hAnsi="宋体" w:cs="宋体" w:hint="eastAsia"/>
                <w:color w:val="000000"/>
                <w:sz w:val="21"/>
                <w:szCs w:val="21"/>
              </w:rPr>
              <w:t>70</w:t>
            </w:r>
          </w:p>
        </w:tc>
        <w:tc>
          <w:tcPr>
            <w:tcW w:w="1388" w:type="dxa"/>
            <w:vAlign w:val="center"/>
          </w:tcPr>
          <w:p w:rsidR="009D15C7" w:rsidRDefault="00AA49B3">
            <w:pPr>
              <w:widowControl/>
              <w:snapToGrid w:val="0"/>
              <w:spacing w:line="240" w:lineRule="auto"/>
              <w:jc w:val="center"/>
              <w:rPr>
                <w:rFonts w:ascii="宋体" w:eastAsia="宋体" w:hAnsi="宋体" w:cs="宋体"/>
                <w:color w:val="000000"/>
                <w:sz w:val="21"/>
                <w:szCs w:val="21"/>
              </w:rPr>
            </w:pPr>
            <w:r>
              <w:rPr>
                <w:rFonts w:ascii="宋体" w:eastAsia="宋体" w:hAnsi="宋体" w:cs="宋体" w:hint="eastAsia"/>
                <w:color w:val="000000"/>
                <w:sz w:val="21"/>
                <w:szCs w:val="21"/>
              </w:rPr>
              <w:t>8.1%</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9</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产业税收规模（亿元）</w:t>
            </w:r>
          </w:p>
        </w:tc>
        <w:tc>
          <w:tcPr>
            <w:tcW w:w="996" w:type="dxa"/>
            <w:vAlign w:val="center"/>
          </w:tcPr>
          <w:p w:rsidR="009D15C7" w:rsidRDefault="00AA49B3">
            <w:pPr>
              <w:widowControl/>
              <w:snapToGrid w:val="0"/>
              <w:spacing w:line="240" w:lineRule="auto"/>
              <w:jc w:val="center"/>
              <w:rPr>
                <w:rFonts w:ascii="宋体" w:eastAsia="宋体" w:hAnsi="宋体" w:cs="宋体"/>
                <w:color w:val="000000"/>
                <w:sz w:val="21"/>
                <w:szCs w:val="21"/>
              </w:rPr>
            </w:pPr>
            <w:r>
              <w:rPr>
                <w:rFonts w:ascii="宋体" w:eastAsia="宋体" w:hAnsi="宋体" w:cs="宋体" w:hint="eastAsia"/>
                <w:color w:val="000000"/>
                <w:sz w:val="21"/>
                <w:szCs w:val="21"/>
              </w:rPr>
              <w:t>1000</w:t>
            </w:r>
          </w:p>
        </w:tc>
        <w:tc>
          <w:tcPr>
            <w:tcW w:w="1388" w:type="dxa"/>
            <w:vAlign w:val="center"/>
          </w:tcPr>
          <w:p w:rsidR="009D15C7" w:rsidRDefault="00AA49B3">
            <w:pPr>
              <w:widowControl/>
              <w:snapToGrid w:val="0"/>
              <w:spacing w:line="240" w:lineRule="auto"/>
              <w:jc w:val="center"/>
              <w:rPr>
                <w:rFonts w:ascii="宋体" w:eastAsia="宋体" w:hAnsi="宋体" w:cs="宋体"/>
                <w:color w:val="000000"/>
                <w:sz w:val="21"/>
                <w:szCs w:val="21"/>
              </w:rPr>
            </w:pPr>
            <w:r>
              <w:rPr>
                <w:rFonts w:ascii="宋体" w:eastAsia="宋体" w:hAnsi="宋体" w:cs="宋体" w:hint="eastAsia"/>
                <w:color w:val="000000"/>
                <w:sz w:val="21"/>
                <w:szCs w:val="21"/>
              </w:rPr>
              <w:t>5%</w:t>
            </w:r>
          </w:p>
        </w:tc>
      </w:tr>
      <w:tr w:rsidR="009D15C7">
        <w:trPr>
          <w:trHeight w:val="581"/>
        </w:trPr>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10</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高能级楼宇数量（幢）</w:t>
            </w:r>
          </w:p>
        </w:tc>
        <w:tc>
          <w:tcPr>
            <w:tcW w:w="996" w:type="dxa"/>
            <w:vAlign w:val="center"/>
          </w:tcPr>
          <w:p w:rsidR="009D15C7" w:rsidRDefault="00AA49B3">
            <w:pPr>
              <w:widowControl/>
              <w:snapToGrid w:val="0"/>
              <w:spacing w:line="240" w:lineRule="auto"/>
              <w:jc w:val="center"/>
              <w:rPr>
                <w:rFonts w:ascii="宋体" w:eastAsia="宋体" w:hAnsi="宋体" w:cs="宋体"/>
                <w:color w:val="000000"/>
                <w:sz w:val="21"/>
                <w:szCs w:val="21"/>
              </w:rPr>
            </w:pPr>
            <w:r>
              <w:rPr>
                <w:rFonts w:ascii="宋体" w:eastAsia="宋体" w:hAnsi="宋体" w:cs="宋体" w:hint="eastAsia"/>
                <w:color w:val="000000"/>
                <w:sz w:val="21"/>
                <w:szCs w:val="21"/>
              </w:rPr>
              <w:t>80</w:t>
            </w:r>
          </w:p>
        </w:tc>
        <w:tc>
          <w:tcPr>
            <w:tcW w:w="1388" w:type="dxa"/>
            <w:vAlign w:val="center"/>
          </w:tcPr>
          <w:p w:rsidR="009D15C7" w:rsidRDefault="00AA49B3">
            <w:pPr>
              <w:widowControl/>
              <w:snapToGrid w:val="0"/>
              <w:spacing w:line="240" w:lineRule="auto"/>
              <w:jc w:val="center"/>
              <w:rPr>
                <w:rFonts w:ascii="宋体" w:eastAsia="宋体" w:hAnsi="宋体" w:cs="宋体"/>
                <w:color w:val="000000"/>
                <w:sz w:val="21"/>
                <w:szCs w:val="21"/>
              </w:rPr>
            </w:pPr>
            <w:r>
              <w:rPr>
                <w:rFonts w:ascii="宋体" w:eastAsia="宋体" w:hAnsi="宋体" w:cs="宋体" w:hint="eastAsia"/>
                <w:color w:val="000000"/>
                <w:sz w:val="21"/>
                <w:szCs w:val="21"/>
              </w:rPr>
              <w:t>8</w:t>
            </w:r>
          </w:p>
        </w:tc>
      </w:tr>
      <w:tr w:rsidR="009D15C7">
        <w:tc>
          <w:tcPr>
            <w:tcW w:w="731" w:type="dxa"/>
            <w:vAlign w:val="center"/>
          </w:tcPr>
          <w:p w:rsidR="009D15C7" w:rsidRDefault="00AA49B3">
            <w:pPr>
              <w:spacing w:line="240" w:lineRule="auto"/>
              <w:jc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11</w:t>
            </w:r>
          </w:p>
        </w:tc>
        <w:tc>
          <w:tcPr>
            <w:tcW w:w="731" w:type="dxa"/>
            <w:vMerge w:val="restart"/>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创新</w:t>
            </w:r>
          </w:p>
          <w:p w:rsidR="009D15C7" w:rsidRDefault="00AA49B3">
            <w:pPr>
              <w:spacing w:line="240" w:lineRule="auto"/>
              <w:jc w:val="center"/>
              <w:rPr>
                <w:rFonts w:ascii="宋体" w:eastAsia="宋体" w:hAnsi="宋体" w:cs="宋体"/>
                <w:sz w:val="21"/>
                <w:szCs w:val="21"/>
              </w:rPr>
            </w:pPr>
            <w:r>
              <w:rPr>
                <w:rFonts w:ascii="宋体" w:eastAsia="宋体" w:hAnsi="宋体" w:cs="宋体" w:hint="eastAsia"/>
                <w:color w:val="000000"/>
                <w:kern w:val="0"/>
                <w:sz w:val="21"/>
                <w:szCs w:val="21"/>
                <w:lang w:bidi="ar"/>
              </w:rPr>
              <w:t>能力</w:t>
            </w: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全社会研发经费支出相当于地区生产总值比例（%）</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6.7</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0.24%</w:t>
            </w:r>
          </w:p>
        </w:tc>
      </w:tr>
      <w:tr w:rsidR="009D15C7">
        <w:trPr>
          <w:trHeight w:val="90"/>
        </w:trPr>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12</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每万人高价值发明专利拥有量（件）</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115</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8.24</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13</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新一代智能终端、智能体等应用普及率（%）</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95%</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w:t>
            </w:r>
          </w:p>
        </w:tc>
      </w:tr>
      <w:tr w:rsidR="009D15C7">
        <w:trPr>
          <w:trHeight w:val="90"/>
        </w:trPr>
        <w:tc>
          <w:tcPr>
            <w:tcW w:w="731" w:type="dxa"/>
            <w:vAlign w:val="center"/>
          </w:tcPr>
          <w:p w:rsidR="009D15C7" w:rsidRDefault="00AA49B3">
            <w:pPr>
              <w:spacing w:line="240" w:lineRule="auto"/>
              <w:jc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14</w:t>
            </w:r>
          </w:p>
        </w:tc>
        <w:tc>
          <w:tcPr>
            <w:tcW w:w="731" w:type="dxa"/>
            <w:vMerge w:val="restart"/>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主体</w:t>
            </w:r>
          </w:p>
          <w:p w:rsidR="009D15C7" w:rsidRDefault="00AA49B3">
            <w:pPr>
              <w:spacing w:line="240" w:lineRule="auto"/>
              <w:jc w:val="center"/>
              <w:rPr>
                <w:rFonts w:ascii="宋体" w:eastAsia="宋体" w:hAnsi="宋体" w:cs="宋体"/>
                <w:sz w:val="21"/>
                <w:szCs w:val="21"/>
              </w:rPr>
            </w:pPr>
            <w:r>
              <w:rPr>
                <w:rFonts w:ascii="宋体" w:eastAsia="宋体" w:hAnsi="宋体" w:cs="宋体" w:hint="eastAsia"/>
                <w:color w:val="000000"/>
                <w:kern w:val="0"/>
                <w:sz w:val="21"/>
                <w:szCs w:val="21"/>
                <w:lang w:bidi="ar"/>
              </w:rPr>
              <w:t>培育</w:t>
            </w: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新增总部型经济机构数量</w:t>
            </w:r>
            <w:r>
              <w:rPr>
                <w:rStyle w:val="font31"/>
                <w:rFonts w:ascii="宋体" w:eastAsia="宋体" w:hAnsi="宋体" w:cs="宋体" w:hint="default"/>
                <w:sz w:val="21"/>
                <w:szCs w:val="21"/>
                <w:lang w:bidi="ar"/>
              </w:rPr>
              <w:t>（家）</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65</w:t>
            </w:r>
          </w:p>
        </w:tc>
        <w:tc>
          <w:tcPr>
            <w:tcW w:w="1388" w:type="dxa"/>
            <w:vAlign w:val="center"/>
          </w:tcPr>
          <w:p w:rsidR="009D15C7" w:rsidRDefault="009D15C7">
            <w:pPr>
              <w:widowControl/>
              <w:snapToGrid w:val="0"/>
              <w:spacing w:line="240" w:lineRule="auto"/>
              <w:jc w:val="center"/>
              <w:textAlignment w:val="center"/>
              <w:rPr>
                <w:rFonts w:ascii="宋体" w:eastAsia="宋体" w:hAnsi="宋体" w:cs="宋体"/>
                <w:color w:val="000000"/>
                <w:kern w:val="0"/>
                <w:sz w:val="21"/>
                <w:szCs w:val="21"/>
                <w:lang w:bidi="ar"/>
              </w:rPr>
            </w:pP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15</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sz w:val="21"/>
                <w:szCs w:val="21"/>
              </w:rPr>
              <w:t>独角兽（潜力）企业数量（家）</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15</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7</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16</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jc w:val="both"/>
              <w:textAlignment w:val="center"/>
              <w:rPr>
                <w:rFonts w:ascii="宋体" w:eastAsia="宋体" w:hAnsi="宋体" w:cs="宋体"/>
                <w:color w:val="000000"/>
                <w:sz w:val="21"/>
                <w:szCs w:val="21"/>
              </w:rPr>
            </w:pPr>
            <w:r>
              <w:rPr>
                <w:rFonts w:ascii="宋体" w:eastAsia="宋体" w:hAnsi="宋体" w:cs="宋体" w:hint="eastAsia"/>
                <w:color w:val="000000"/>
                <w:sz w:val="21"/>
                <w:szCs w:val="21"/>
              </w:rPr>
              <w:t>上海市高新技术企业数量（家）</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sz w:val="21"/>
                <w:szCs w:val="21"/>
              </w:rPr>
              <w:t>850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42</w:t>
            </w:r>
          </w:p>
        </w:tc>
      </w:tr>
      <w:tr w:rsidR="009D15C7">
        <w:tc>
          <w:tcPr>
            <w:tcW w:w="731" w:type="dxa"/>
            <w:vAlign w:val="center"/>
          </w:tcPr>
          <w:p w:rsidR="009D15C7" w:rsidRDefault="00AA49B3">
            <w:pPr>
              <w:spacing w:line="240" w:lineRule="auto"/>
              <w:jc w:val="center"/>
              <w:rPr>
                <w:rFonts w:ascii="宋体" w:eastAsia="宋体" w:hAnsi="宋体" w:cs="宋体"/>
                <w:sz w:val="21"/>
                <w:szCs w:val="21"/>
              </w:rPr>
            </w:pPr>
            <w:r>
              <w:rPr>
                <w:rFonts w:ascii="宋体" w:eastAsia="宋体" w:hAnsi="宋体" w:cs="宋体" w:hint="eastAsia"/>
                <w:sz w:val="21"/>
                <w:szCs w:val="21"/>
              </w:rPr>
              <w:t>17</w:t>
            </w:r>
          </w:p>
        </w:tc>
        <w:tc>
          <w:tcPr>
            <w:tcW w:w="731" w:type="dxa"/>
            <w:vMerge/>
            <w:vAlign w:val="center"/>
          </w:tcPr>
          <w:p w:rsidR="009D15C7" w:rsidRDefault="009D15C7">
            <w:pPr>
              <w:spacing w:line="240" w:lineRule="auto"/>
              <w:jc w:val="center"/>
              <w:rPr>
                <w:rFonts w:ascii="宋体" w:eastAsia="宋体" w:hAnsi="宋体" w:cs="宋体"/>
                <w:sz w:val="21"/>
                <w:szCs w:val="21"/>
              </w:rPr>
            </w:pPr>
          </w:p>
        </w:tc>
        <w:tc>
          <w:tcPr>
            <w:tcW w:w="4108" w:type="dxa"/>
            <w:vAlign w:val="center"/>
          </w:tcPr>
          <w:p w:rsidR="009D15C7" w:rsidRDefault="00AA49B3">
            <w:pPr>
              <w:widowControl/>
              <w:snapToGrid w:val="0"/>
              <w:spacing w:line="240" w:lineRule="auto"/>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新质服务商机构数量（家）</w:t>
            </w:r>
          </w:p>
        </w:tc>
        <w:tc>
          <w:tcPr>
            <w:tcW w:w="996" w:type="dxa"/>
            <w:vAlign w:val="center"/>
          </w:tcPr>
          <w:p w:rsidR="009D15C7" w:rsidRDefault="00AA49B3">
            <w:pPr>
              <w:widowControl/>
              <w:snapToGrid w:val="0"/>
              <w:spacing w:line="240" w:lineRule="auto"/>
              <w:jc w:val="center"/>
              <w:textAlignment w:val="center"/>
              <w:rPr>
                <w:rFonts w:ascii="宋体" w:eastAsia="宋体" w:hAnsi="宋体" w:cs="宋体"/>
                <w:color w:val="000000"/>
                <w:sz w:val="21"/>
                <w:szCs w:val="21"/>
              </w:rPr>
            </w:pPr>
            <w:r>
              <w:rPr>
                <w:rFonts w:ascii="宋体" w:eastAsia="宋体" w:hAnsi="宋体" w:cs="宋体" w:hint="eastAsia"/>
                <w:color w:val="000000"/>
                <w:kern w:val="0"/>
                <w:sz w:val="21"/>
                <w:szCs w:val="21"/>
                <w:lang w:bidi="ar"/>
              </w:rPr>
              <w:t>100</w:t>
            </w:r>
          </w:p>
        </w:tc>
        <w:tc>
          <w:tcPr>
            <w:tcW w:w="1388" w:type="dxa"/>
            <w:vAlign w:val="center"/>
          </w:tcPr>
          <w:p w:rsidR="009D15C7" w:rsidRDefault="00AA49B3">
            <w:pPr>
              <w:widowControl/>
              <w:snapToGrid w:val="0"/>
              <w:spacing w:line="240" w:lineRule="auto"/>
              <w:jc w:val="center"/>
              <w:textAlignment w:val="center"/>
              <w:rPr>
                <w:rFonts w:ascii="宋体" w:eastAsia="宋体" w:hAnsi="宋体" w:cs="宋体"/>
                <w:color w:val="000000"/>
                <w:kern w:val="0"/>
                <w:sz w:val="21"/>
                <w:szCs w:val="21"/>
                <w:lang w:bidi="ar"/>
              </w:rPr>
            </w:pPr>
            <w:r>
              <w:rPr>
                <w:rFonts w:ascii="宋体" w:eastAsia="宋体" w:hAnsi="宋体" w:cs="宋体" w:hint="eastAsia"/>
                <w:color w:val="000000"/>
                <w:kern w:val="0"/>
                <w:sz w:val="21"/>
                <w:szCs w:val="21"/>
                <w:lang w:bidi="ar"/>
              </w:rPr>
              <w:t>/</w:t>
            </w:r>
          </w:p>
        </w:tc>
      </w:tr>
    </w:tbl>
    <w:p w:rsidR="009D15C7" w:rsidRDefault="00AA49B3">
      <w:pPr>
        <w:pStyle w:val="1"/>
        <w:ind w:firstLineChars="200" w:firstLine="640"/>
        <w:jc w:val="both"/>
        <w:rPr>
          <w:rFonts w:ascii="黑体" w:hAnsi="黑体"/>
          <w:b w:val="0"/>
          <w:bCs w:val="0"/>
          <w:szCs w:val="32"/>
        </w:rPr>
      </w:pPr>
      <w:bookmarkStart w:id="22" w:name="_Toc23405"/>
      <w:r>
        <w:rPr>
          <w:rFonts w:ascii="黑体" w:hAnsi="黑体" w:hint="eastAsia"/>
          <w:b w:val="0"/>
          <w:bCs w:val="0"/>
          <w:szCs w:val="32"/>
        </w:rPr>
        <w:t>三、空间布局</w:t>
      </w:r>
      <w:bookmarkEnd w:id="20"/>
      <w:bookmarkEnd w:id="21"/>
      <w:bookmarkEnd w:id="22"/>
    </w:p>
    <w:p w:rsidR="009D15C7" w:rsidRDefault="00AA49B3">
      <w:pPr>
        <w:ind w:firstLineChars="200" w:firstLine="640"/>
        <w:jc w:val="both"/>
        <w:rPr>
          <w:rFonts w:ascii="Times New Roman" w:hAnsi="Times New Roman" w:cs="Times New Roman"/>
          <w:szCs w:val="32"/>
        </w:rPr>
      </w:pPr>
      <w:r>
        <w:rPr>
          <w:rFonts w:ascii="Times New Roman" w:hAnsi="Times New Roman" w:cs="Times New Roman" w:hint="eastAsia"/>
          <w:szCs w:val="32"/>
        </w:rPr>
        <w:t>紧扣“一带一轴五大功能区”国土空间布局和“</w:t>
      </w:r>
      <w:r>
        <w:rPr>
          <w:rFonts w:ascii="Times New Roman" w:hAnsi="Times New Roman" w:cs="Times New Roman" w:hint="eastAsia"/>
          <w:szCs w:val="32"/>
        </w:rPr>
        <w:t>1+5+X</w:t>
      </w:r>
      <w:r>
        <w:rPr>
          <w:rFonts w:ascii="Times New Roman" w:hAnsi="Times New Roman" w:cs="Times New Roman" w:hint="eastAsia"/>
          <w:szCs w:val="32"/>
        </w:rPr>
        <w:t>”现代化产业格局发展需要，</w:t>
      </w:r>
      <w:r>
        <w:rPr>
          <w:rFonts w:ascii="Times New Roman" w:hAnsi="Times New Roman" w:cs="Times New Roman"/>
          <w:szCs w:val="32"/>
        </w:rPr>
        <w:t>构建</w:t>
      </w:r>
      <w:r>
        <w:rPr>
          <w:rFonts w:ascii="Times New Roman" w:hAnsi="Times New Roman" w:cs="Times New Roman" w:hint="eastAsia"/>
          <w:b/>
          <w:bCs/>
          <w:szCs w:val="32"/>
        </w:rPr>
        <w:t>“一带两区多核”</w:t>
      </w:r>
      <w:r>
        <w:rPr>
          <w:rFonts w:ascii="Times New Roman" w:hAnsi="Times New Roman" w:cs="Times New Roman"/>
          <w:szCs w:val="32"/>
        </w:rPr>
        <w:t>的</w:t>
      </w:r>
      <w:r>
        <w:rPr>
          <w:rFonts w:ascii="Times New Roman" w:hAnsi="Times New Roman" w:cs="Times New Roman" w:hint="eastAsia"/>
          <w:szCs w:val="32"/>
        </w:rPr>
        <w:t>产业空间格局</w:t>
      </w:r>
      <w:r>
        <w:rPr>
          <w:rFonts w:ascii="Times New Roman" w:hAnsi="Times New Roman" w:cs="Times New Roman"/>
          <w:szCs w:val="32"/>
        </w:rPr>
        <w:t>。</w:t>
      </w:r>
    </w:p>
    <w:p w:rsidR="009D15C7" w:rsidRDefault="00AA49B3" w:rsidP="00D9014E">
      <w:pPr>
        <w:ind w:firstLineChars="200" w:firstLine="643"/>
        <w:jc w:val="both"/>
        <w:rPr>
          <w:rFonts w:ascii="Times New Roman" w:hAnsi="Times New Roman" w:cs="Times New Roman"/>
          <w:b/>
          <w:bCs/>
          <w:szCs w:val="32"/>
        </w:rPr>
      </w:pPr>
      <w:bookmarkStart w:id="23" w:name="_Toc208141319"/>
      <w:r>
        <w:rPr>
          <w:rFonts w:ascii="Times New Roman" w:hAnsi="Times New Roman" w:cs="Times New Roman" w:hint="eastAsia"/>
          <w:b/>
          <w:bCs/>
          <w:szCs w:val="32"/>
        </w:rPr>
        <w:t>一带：沿徐汇滨江水岸智能经济引领产业高质量发展带，</w:t>
      </w:r>
      <w:r>
        <w:rPr>
          <w:rFonts w:ascii="Times New Roman" w:hAnsi="Times New Roman" w:cs="Times New Roman" w:hint="eastAsia"/>
          <w:szCs w:val="32"/>
        </w:rPr>
        <w:lastRenderedPageBreak/>
        <w:t>由北向南联动西岸中環、模速空间、热力秀场等载体，重点发展以科创金融、人工智能、文化创意为核心的多产业融合体系，建设成为最具产业竞争力和影响力的高质量发展带。</w:t>
      </w:r>
    </w:p>
    <w:bookmarkEnd w:id="23"/>
    <w:p w:rsidR="009D15C7" w:rsidRDefault="00AA49B3" w:rsidP="00D9014E">
      <w:pPr>
        <w:ind w:firstLineChars="200" w:firstLine="643"/>
        <w:jc w:val="both"/>
        <w:rPr>
          <w:rFonts w:ascii="Times New Roman" w:hAnsi="Times New Roman" w:cs="Times New Roman"/>
          <w:szCs w:val="32"/>
        </w:rPr>
      </w:pPr>
      <w:r>
        <w:rPr>
          <w:rFonts w:ascii="Times New Roman" w:hAnsi="Times New Roman" w:cs="Times New Roman" w:hint="eastAsia"/>
          <w:b/>
          <w:bCs/>
          <w:szCs w:val="32"/>
        </w:rPr>
        <w:t>两区：以大徐家汇区域为中心的高能级产业集聚区，</w:t>
      </w:r>
      <w:bookmarkStart w:id="24" w:name="OLE_LINK93"/>
      <w:bookmarkStart w:id="25" w:name="OLE_LINK94"/>
      <w:r>
        <w:rPr>
          <w:rFonts w:ascii="Times New Roman" w:hAnsi="Times New Roman" w:cs="Times New Roman" w:hint="eastAsia"/>
          <w:szCs w:val="32"/>
        </w:rPr>
        <w:t>聚焦专业服务、现代商贸、生命健康等优势产业，加快新质服务商、高端品牌、医疗服务机构、金融机构集聚，推动大徐家汇区域建设成为具有全球资源配置能力和国际竞争力的上海国际大都市中央活动区。</w:t>
      </w:r>
      <w:r>
        <w:rPr>
          <w:rFonts w:ascii="Times New Roman" w:hAnsi="Times New Roman" w:cs="Times New Roman" w:hint="eastAsia"/>
          <w:b/>
          <w:bCs/>
          <w:szCs w:val="32"/>
        </w:rPr>
        <w:t>以漕开发为核心的科技创新与产业创新融合发展示范区，</w:t>
      </w:r>
      <w:r>
        <w:rPr>
          <w:rFonts w:ascii="Times New Roman" w:hAnsi="Times New Roman" w:cs="Times New Roman" w:hint="eastAsia"/>
          <w:szCs w:val="32"/>
        </w:rPr>
        <w:t>联动</w:t>
      </w:r>
      <w:r>
        <w:rPr>
          <w:rFonts w:hint="eastAsia"/>
          <w:szCs w:val="32"/>
        </w:rPr>
        <w:t>中科院营养所、上海工业自动化仪表研究院等创新资源</w:t>
      </w:r>
      <w:r>
        <w:rPr>
          <w:rFonts w:ascii="Times New Roman" w:hAnsi="Times New Roman" w:cs="Times New Roman" w:hint="eastAsia"/>
          <w:szCs w:val="32"/>
        </w:rPr>
        <w:t>，加快医疗器械、具身智能、人形机器人、芯片制造等领域的应用转化，培育高等级专业孵化器，推动构建全国科技创新与产业创新融合示范区。</w:t>
      </w:r>
    </w:p>
    <w:p w:rsidR="009D15C7" w:rsidRDefault="00AA49B3" w:rsidP="00D9014E">
      <w:pPr>
        <w:pStyle w:val="a4"/>
        <w:ind w:firstLineChars="200" w:firstLine="643"/>
        <w:jc w:val="both"/>
        <w:rPr>
          <w:rFonts w:ascii="Times New Roman" w:hAnsi="Times New Roman" w:cs="Times New Roman"/>
          <w:szCs w:val="32"/>
          <w:highlight w:val="yellow"/>
        </w:rPr>
      </w:pPr>
      <w:bookmarkStart w:id="26" w:name="_Toc208141323"/>
      <w:bookmarkEnd w:id="24"/>
      <w:bookmarkEnd w:id="25"/>
      <w:r>
        <w:rPr>
          <w:rFonts w:ascii="Times New Roman" w:hAnsi="Times New Roman" w:cs="Times New Roman" w:hint="eastAsia"/>
          <w:b/>
          <w:bCs/>
          <w:szCs w:val="32"/>
        </w:rPr>
        <w:t>多</w:t>
      </w:r>
      <w:bookmarkEnd w:id="26"/>
      <w:r>
        <w:rPr>
          <w:rFonts w:ascii="Times New Roman" w:hAnsi="Times New Roman" w:cs="Times New Roman" w:hint="eastAsia"/>
          <w:b/>
          <w:bCs/>
          <w:szCs w:val="32"/>
        </w:rPr>
        <w:t>核：</w:t>
      </w:r>
      <w:bookmarkStart w:id="27" w:name="_Toc208141327"/>
      <w:r>
        <w:rPr>
          <w:rFonts w:ascii="Times New Roman" w:hAnsi="Times New Roman" w:cs="Times New Roman" w:hint="eastAsia"/>
          <w:b/>
          <w:bCs/>
          <w:szCs w:val="32"/>
        </w:rPr>
        <w:t>创智共生社区</w:t>
      </w:r>
      <w:r>
        <w:rPr>
          <w:rFonts w:ascii="Times New Roman" w:hAnsi="Times New Roman" w:cs="Times New Roman" w:hint="eastAsia"/>
          <w:szCs w:val="32"/>
        </w:rPr>
        <w:t>，聚焦智能体、智能终端等赛道，推动建设“高密度、低成本”的人工智能产业集聚区和垂类应用示范地，打造徐汇向南拓展的新增长极。</w:t>
      </w:r>
      <w:r>
        <w:rPr>
          <w:rFonts w:ascii="Times New Roman" w:hAnsi="Times New Roman" w:cs="Times New Roman" w:hint="eastAsia"/>
          <w:b/>
          <w:bCs/>
          <w:szCs w:val="32"/>
        </w:rPr>
        <w:t>枫林</w:t>
      </w:r>
      <w:bookmarkEnd w:id="27"/>
      <w:r>
        <w:rPr>
          <w:rFonts w:ascii="Times New Roman" w:hAnsi="Times New Roman" w:cs="Times New Roman" w:hint="eastAsia"/>
          <w:b/>
          <w:bCs/>
          <w:szCs w:val="32"/>
        </w:rPr>
        <w:t>生命健康园区，</w:t>
      </w:r>
      <w:bookmarkStart w:id="28" w:name="_Hlk208157235"/>
      <w:r>
        <w:rPr>
          <w:rFonts w:ascii="Times New Roman" w:hAnsi="Times New Roman" w:cs="Times New Roman" w:hint="eastAsia"/>
          <w:szCs w:val="32"/>
        </w:rPr>
        <w:t>重点发展创新药和</w:t>
      </w:r>
      <w:r>
        <w:rPr>
          <w:rFonts w:ascii="Times New Roman" w:hAnsi="Times New Roman" w:cs="Times New Roman" w:hint="eastAsia"/>
          <w:szCs w:val="32"/>
        </w:rPr>
        <w:t>AI+</w:t>
      </w:r>
      <w:r>
        <w:rPr>
          <w:rFonts w:ascii="Times New Roman" w:hAnsi="Times New Roman" w:cs="Times New Roman" w:hint="eastAsia"/>
          <w:szCs w:val="32"/>
        </w:rPr>
        <w:t>制药等产业集群</w:t>
      </w:r>
      <w:bookmarkEnd w:id="28"/>
      <w:r>
        <w:rPr>
          <w:rFonts w:ascii="Times New Roman" w:hAnsi="Times New Roman" w:cs="Times New Roman" w:hint="eastAsia"/>
          <w:szCs w:val="32"/>
        </w:rPr>
        <w:t>，打造具有全球影响力的生命健康科技创新高地。</w:t>
      </w:r>
      <w:bookmarkStart w:id="29" w:name="_Toc208141326"/>
      <w:r>
        <w:rPr>
          <w:rFonts w:ascii="Times New Roman" w:hAnsi="Times New Roman" w:cs="Times New Roman" w:hint="eastAsia"/>
          <w:b/>
          <w:bCs/>
          <w:szCs w:val="32"/>
        </w:rPr>
        <w:t>徐汇中城，</w:t>
      </w:r>
      <w:r>
        <w:rPr>
          <w:rFonts w:ascii="Times New Roman" w:hAnsi="Times New Roman" w:cs="Times New Roman" w:hint="eastAsia"/>
          <w:szCs w:val="32"/>
        </w:rPr>
        <w:t>聚焦专业服务、</w:t>
      </w:r>
      <w:r>
        <w:rPr>
          <w:rFonts w:ascii="Times New Roman" w:hAnsi="Times New Roman" w:cs="Times New Roman"/>
          <w:szCs w:val="32"/>
        </w:rPr>
        <w:t>生命健康与总部研发功能</w:t>
      </w:r>
      <w:r>
        <w:rPr>
          <w:rFonts w:ascii="Times New Roman" w:hAnsi="Times New Roman" w:cs="Times New Roman" w:hint="eastAsia"/>
          <w:szCs w:val="32"/>
        </w:rPr>
        <w:t>，构建徐汇中城服务长三角企业出海中心和出海企业总部集聚区，打造成为南北融合的经济增长极和长三角企业对接国际市场的服务门户</w:t>
      </w:r>
      <w:r>
        <w:rPr>
          <w:rFonts w:ascii="Times New Roman" w:hAnsi="Times New Roman" w:cs="Times New Roman"/>
          <w:szCs w:val="32"/>
        </w:rPr>
        <w:t>。</w:t>
      </w:r>
      <w:r>
        <w:rPr>
          <w:rFonts w:ascii="Times New Roman" w:hAnsi="Times New Roman" w:cs="Times New Roman" w:hint="eastAsia"/>
          <w:b/>
          <w:bCs/>
          <w:szCs w:val="32"/>
        </w:rPr>
        <w:t>西岸中環，</w:t>
      </w:r>
      <w:bookmarkStart w:id="30" w:name="_Hlk208157633"/>
      <w:r>
        <w:rPr>
          <w:rFonts w:ascii="Times New Roman" w:hAnsi="Times New Roman" w:cs="Times New Roman" w:hint="eastAsia"/>
          <w:szCs w:val="32"/>
        </w:rPr>
        <w:t>重点布局高端零售、高端住宿餐饮、创意设计、国际化科创金融等产业业态，满足高品质的消费需求。</w:t>
      </w:r>
      <w:bookmarkEnd w:id="30"/>
      <w:r>
        <w:rPr>
          <w:rFonts w:ascii="Times New Roman" w:hAnsi="Times New Roman" w:cs="Times New Roman" w:hint="eastAsia"/>
          <w:b/>
          <w:bCs/>
          <w:szCs w:val="32"/>
        </w:rPr>
        <w:t>数链空间</w:t>
      </w:r>
      <w:r>
        <w:rPr>
          <w:rFonts w:ascii="Times New Roman" w:hAnsi="Times New Roman" w:cs="Times New Roman" w:hint="eastAsia"/>
          <w:szCs w:val="32"/>
        </w:rPr>
        <w:t>，聚焦区块链核心技术研发突破与产业集聚，着力打造区块链技术</w:t>
      </w:r>
      <w:r>
        <w:rPr>
          <w:rFonts w:ascii="Times New Roman" w:hAnsi="Times New Roman" w:cs="Times New Roman" w:hint="eastAsia"/>
          <w:szCs w:val="32"/>
        </w:rPr>
        <w:lastRenderedPageBreak/>
        <w:t>创新生态高地与数据产业集聚发展的重要承载地。</w:t>
      </w:r>
      <w:r>
        <w:rPr>
          <w:rFonts w:ascii="Times New Roman" w:hAnsi="Times New Roman" w:cs="Times New Roman" w:hint="eastAsia"/>
          <w:b/>
          <w:bCs/>
          <w:szCs w:val="32"/>
        </w:rPr>
        <w:t>创业梦工场，</w:t>
      </w:r>
      <w:r>
        <w:rPr>
          <w:rFonts w:ascii="Times New Roman" w:hAnsi="Times New Roman" w:cs="Times New Roman" w:hint="eastAsia"/>
          <w:szCs w:val="32"/>
        </w:rPr>
        <w:t>聚焦脑机接口、具身智能、合成生物等方向，发展与研发结合紧密的高端化、智能化轻制造环节，集聚一批智能终端硬件企业。</w:t>
      </w:r>
      <w:bookmarkEnd w:id="29"/>
    </w:p>
    <w:p w:rsidR="009D15C7" w:rsidRDefault="00AA49B3">
      <w:pPr>
        <w:pStyle w:val="a3"/>
        <w:spacing w:line="360" w:lineRule="auto"/>
        <w:jc w:val="center"/>
      </w:pPr>
      <w:r>
        <w:rPr>
          <w:noProof/>
        </w:rPr>
        <w:lastRenderedPageBreak/>
        <w:drawing>
          <wp:inline distT="0" distB="0" distL="114300" distR="114300">
            <wp:extent cx="5200015" cy="7173595"/>
            <wp:effectExtent l="0" t="0" r="63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00015" cy="7173595"/>
                    </a:xfrm>
                    <a:prstGeom prst="rect">
                      <a:avLst/>
                    </a:prstGeom>
                    <a:noFill/>
                    <a:ln>
                      <a:noFill/>
                    </a:ln>
                  </pic:spPr>
                </pic:pic>
              </a:graphicData>
            </a:graphic>
          </wp:inline>
        </w:drawing>
      </w:r>
    </w:p>
    <w:p w:rsidR="009D15C7" w:rsidRDefault="00AA49B3">
      <w:pPr>
        <w:pStyle w:val="a3"/>
        <w:jc w:val="center"/>
        <w:rPr>
          <w:rFonts w:ascii="仿宋_GB2312"/>
          <w:sz w:val="24"/>
          <w:szCs w:val="28"/>
        </w:rPr>
      </w:pPr>
      <w:r>
        <w:rPr>
          <w:rFonts w:ascii="仿宋_GB2312" w:hint="eastAsia"/>
          <w:sz w:val="24"/>
          <w:szCs w:val="28"/>
        </w:rPr>
        <w:t>图1 “一带两区多核”产业空间布局图</w:t>
      </w:r>
    </w:p>
    <w:p w:rsidR="009D15C7" w:rsidRDefault="00AA49B3">
      <w:pPr>
        <w:pStyle w:val="1"/>
        <w:ind w:firstLineChars="200" w:firstLine="640"/>
        <w:rPr>
          <w:rFonts w:ascii="黑体" w:hAnsi="黑体"/>
          <w:b w:val="0"/>
          <w:bCs w:val="0"/>
          <w:szCs w:val="32"/>
        </w:rPr>
      </w:pPr>
      <w:bookmarkStart w:id="31" w:name="_Toc31849"/>
      <w:bookmarkStart w:id="32" w:name="_Toc26569"/>
      <w:bookmarkStart w:id="33" w:name="_Toc15865"/>
      <w:bookmarkStart w:id="34" w:name="_Hlk202790344"/>
      <w:r>
        <w:rPr>
          <w:rFonts w:ascii="黑体" w:hAnsi="黑体" w:hint="eastAsia"/>
          <w:b w:val="0"/>
          <w:bCs w:val="0"/>
          <w:szCs w:val="32"/>
        </w:rPr>
        <w:t>四、主要任务</w:t>
      </w:r>
      <w:bookmarkEnd w:id="31"/>
      <w:bookmarkEnd w:id="32"/>
      <w:bookmarkEnd w:id="33"/>
    </w:p>
    <w:p w:rsidR="009D15C7" w:rsidRDefault="00AA49B3">
      <w:pPr>
        <w:pStyle w:val="2"/>
      </w:pPr>
      <w:bookmarkStart w:id="35" w:name="_Toc208141301"/>
      <w:bookmarkStart w:id="36" w:name="_Toc12377"/>
      <w:bookmarkStart w:id="37" w:name="_Toc23351"/>
      <w:bookmarkStart w:id="38" w:name="_Toc31845"/>
      <w:bookmarkStart w:id="39" w:name="_Hlk202640801"/>
      <w:r>
        <w:rPr>
          <w:rFonts w:hint="eastAsia"/>
        </w:rPr>
        <w:t>（一）壮大人工智能先导产业，建设智能经济引领</w:t>
      </w:r>
      <w:bookmarkStart w:id="40" w:name="_Toc208142482"/>
      <w:bookmarkEnd w:id="35"/>
      <w:r>
        <w:rPr>
          <w:rFonts w:hint="eastAsia"/>
        </w:rPr>
        <w:t>区</w:t>
      </w:r>
      <w:bookmarkEnd w:id="36"/>
      <w:bookmarkEnd w:id="37"/>
      <w:bookmarkEnd w:id="38"/>
    </w:p>
    <w:p w:rsidR="009D15C7" w:rsidRDefault="00AA49B3" w:rsidP="00D9014E">
      <w:pPr>
        <w:pStyle w:val="3"/>
        <w:keepNext w:val="0"/>
        <w:keepLines w:val="0"/>
        <w:numPr>
          <w:ilvl w:val="255"/>
          <w:numId w:val="0"/>
        </w:numPr>
        <w:adjustRightInd w:val="0"/>
        <w:snapToGrid w:val="0"/>
        <w:ind w:firstLineChars="200" w:firstLine="643"/>
        <w:jc w:val="both"/>
        <w:rPr>
          <w:rFonts w:ascii="Times New Roman" w:hAnsi="Times New Roman" w:cs="仿宋_GB2312"/>
          <w:b w:val="0"/>
          <w:bCs/>
          <w:color w:val="auto"/>
          <w14:ligatures w14:val="none"/>
        </w:rPr>
      </w:pPr>
      <w:bookmarkStart w:id="41" w:name="_Toc16070"/>
      <w:bookmarkStart w:id="42" w:name="_Toc28558"/>
      <w:r>
        <w:rPr>
          <w:rFonts w:ascii="Times New Roman" w:hAnsi="Times New Roman" w:cs="仿宋_GB2312" w:hint="eastAsia"/>
          <w:bCs/>
          <w:color w:val="auto"/>
          <w14:ligatures w14:val="none"/>
        </w:rPr>
        <w:lastRenderedPageBreak/>
        <w:t>1</w:t>
      </w:r>
      <w:r>
        <w:rPr>
          <w:rFonts w:ascii="Times New Roman" w:hAnsi="Times New Roman" w:cs="仿宋_GB2312" w:hint="eastAsia"/>
          <w:bCs/>
          <w:color w:val="auto"/>
          <w14:ligatures w14:val="none"/>
        </w:rPr>
        <w:t>、推动人工智能产业要素集聚化发展</w:t>
      </w:r>
      <w:bookmarkEnd w:id="41"/>
      <w:bookmarkEnd w:id="42"/>
    </w:p>
    <w:p w:rsidR="009D15C7" w:rsidRDefault="00AA49B3" w:rsidP="00D9014E">
      <w:pPr>
        <w:ind w:firstLineChars="200" w:firstLine="643"/>
        <w:jc w:val="both"/>
        <w:rPr>
          <w:rFonts w:ascii="仿宋_GB2312" w:hAnsi="仿宋_GB2312" w:cs="仿宋_GB2312"/>
          <w:szCs w:val="32"/>
        </w:rPr>
      </w:pPr>
      <w:r>
        <w:rPr>
          <w:rFonts w:ascii="仿宋_GB2312" w:hAnsi="仿宋_GB2312" w:cs="仿宋_GB2312" w:hint="eastAsia"/>
          <w:b/>
          <w:bCs/>
          <w:szCs w:val="32"/>
        </w:rPr>
        <w:t>强化大模型技术引领与产业赋能优势，</w:t>
      </w:r>
      <w:r>
        <w:rPr>
          <w:rFonts w:ascii="仿宋_GB2312" w:hAnsi="仿宋_GB2312" w:cs="仿宋_GB2312" w:hint="eastAsia"/>
          <w:szCs w:val="32"/>
        </w:rPr>
        <w:t>聚焦</w:t>
      </w:r>
      <w:r>
        <w:rPr>
          <w:rFonts w:ascii="Times New Roman" w:hAnsi="Times New Roman" w:cs="Times New Roman" w:hint="eastAsia"/>
          <w:szCs w:val="32"/>
          <w14:ligatures w14:val="none"/>
        </w:rPr>
        <w:t>创新架构设计、多模态融合、复杂推理等关键技术加快布局，培育“</w:t>
      </w:r>
      <w:r>
        <w:rPr>
          <w:rFonts w:ascii="Times New Roman" w:hAnsi="Times New Roman" w:cs="Times New Roman" w:hint="eastAsia"/>
          <w:szCs w:val="32"/>
          <w14:ligatures w14:val="none"/>
        </w:rPr>
        <w:t>6+N</w:t>
      </w:r>
      <w:r>
        <w:rPr>
          <w:rFonts w:ascii="Times New Roman" w:hAnsi="Times New Roman" w:cs="Times New Roman" w:hint="eastAsia"/>
          <w:szCs w:val="32"/>
          <w14:ligatures w14:val="none"/>
        </w:rPr>
        <w:t>”具有先进水平的大模型方阵，推动通用模型向制造、医疗等重点行业纵深延展</w:t>
      </w:r>
      <w:r>
        <w:rPr>
          <w:rFonts w:ascii="仿宋_GB2312" w:hAnsi="仿宋_GB2312" w:cs="仿宋_GB2312" w:hint="eastAsia"/>
          <w:szCs w:val="32"/>
        </w:rPr>
        <w:t>。</w:t>
      </w:r>
      <w:r>
        <w:rPr>
          <w:rFonts w:ascii="仿宋_GB2312" w:hAnsi="仿宋_GB2312" w:cs="仿宋_GB2312" w:hint="eastAsia"/>
          <w:b/>
          <w:bCs/>
          <w:szCs w:val="32"/>
        </w:rPr>
        <w:t>提升算力自主可控与统筹调度能力，</w:t>
      </w:r>
      <w:r>
        <w:rPr>
          <w:rFonts w:ascii="仿宋_GB2312" w:hAnsi="仿宋_GB2312" w:cs="仿宋_GB2312" w:hint="eastAsia"/>
          <w:szCs w:val="32"/>
        </w:rPr>
        <w:t>支持AI计算、存储、互联芯片项目落地，探索量子计算、类脑计算等前沿领域，推动人工智能软硬件适配和生态协同。</w:t>
      </w:r>
      <w:r>
        <w:rPr>
          <w:rFonts w:ascii="仿宋_GB2312" w:hAnsi="仿宋_GB2312" w:cs="仿宋_GB2312" w:hint="eastAsia"/>
          <w:b/>
          <w:bCs/>
          <w:szCs w:val="32"/>
        </w:rPr>
        <w:t>加强高端数据要素供给应用，</w:t>
      </w:r>
      <w:r>
        <w:rPr>
          <w:rFonts w:ascii="仿宋_GB2312" w:hAnsi="仿宋_GB2312" w:cs="仿宋_GB2312" w:hint="eastAsia"/>
          <w:szCs w:val="32"/>
        </w:rPr>
        <w:t>提升数据采集、管理、合成、质检与服务运营能力，鼓励各行业建设高质量数据集，推动公共数据融合应用，引育一批高水平数据标注企业。</w:t>
      </w:r>
      <w:r>
        <w:rPr>
          <w:rFonts w:ascii="仿宋_GB2312" w:hAnsi="仿宋_GB2312" w:cs="仿宋_GB2312" w:hint="eastAsia"/>
          <w:b/>
          <w:bCs/>
          <w:szCs w:val="32"/>
        </w:rPr>
        <w:t>加快AI云服务能力建设，</w:t>
      </w:r>
      <w:r>
        <w:rPr>
          <w:rFonts w:ascii="仿宋_GB2312" w:hAnsi="仿宋_GB2312" w:cs="仿宋_GB2312" w:hint="eastAsia"/>
          <w:szCs w:val="32"/>
        </w:rPr>
        <w:t>重点布局算力服务、模型开发调用、数据服务与AI应用孵化，推动云服务商构建本地化算力调度、行业模型适配、属地运维等服务能力。</w:t>
      </w:r>
    </w:p>
    <w:p w:rsidR="009D15C7" w:rsidRDefault="00AA49B3" w:rsidP="00D9014E">
      <w:pPr>
        <w:pStyle w:val="3"/>
        <w:keepNext w:val="0"/>
        <w:keepLines w:val="0"/>
        <w:numPr>
          <w:ilvl w:val="255"/>
          <w:numId w:val="0"/>
        </w:numPr>
        <w:adjustRightInd w:val="0"/>
        <w:snapToGrid w:val="0"/>
        <w:ind w:firstLineChars="200" w:firstLine="643"/>
        <w:jc w:val="both"/>
        <w:rPr>
          <w:rFonts w:ascii="Times New Roman" w:hAnsi="Times New Roman" w:cs="仿宋_GB2312"/>
          <w:b w:val="0"/>
          <w:bCs/>
          <w:color w:val="auto"/>
          <w14:ligatures w14:val="none"/>
        </w:rPr>
      </w:pPr>
      <w:bookmarkStart w:id="43" w:name="_Toc469"/>
      <w:bookmarkStart w:id="44" w:name="_Toc2410"/>
      <w:r>
        <w:rPr>
          <w:rFonts w:ascii="Times New Roman" w:hAnsi="Times New Roman" w:cs="仿宋_GB2312" w:hint="eastAsia"/>
          <w:bCs/>
          <w:color w:val="auto"/>
          <w14:ligatures w14:val="none"/>
        </w:rPr>
        <w:t>2</w:t>
      </w:r>
      <w:r>
        <w:rPr>
          <w:rFonts w:ascii="Times New Roman" w:hAnsi="Times New Roman" w:cs="仿宋_GB2312" w:hint="eastAsia"/>
          <w:bCs/>
          <w:color w:val="auto"/>
          <w14:ligatures w14:val="none"/>
        </w:rPr>
        <w:t>、打造人工智能创新产品品牌化矩阵</w:t>
      </w:r>
      <w:bookmarkEnd w:id="43"/>
      <w:bookmarkEnd w:id="44"/>
    </w:p>
    <w:p w:rsidR="009D15C7" w:rsidRDefault="00AA49B3" w:rsidP="00D9014E">
      <w:pPr>
        <w:widowControl/>
        <w:ind w:firstLineChars="200" w:firstLine="643"/>
        <w:rPr>
          <w:rFonts w:ascii="仿宋_GB2312" w:hAnsi="仿宋_GB2312" w:cs="仿宋_GB2312"/>
          <w:color w:val="000000"/>
          <w:szCs w:val="32"/>
        </w:rPr>
      </w:pPr>
      <w:r>
        <w:rPr>
          <w:rFonts w:ascii="仿宋_GB2312" w:hAnsi="仿宋_GB2312" w:cs="仿宋_GB2312" w:hint="eastAsia"/>
          <w:b/>
          <w:bCs/>
          <w:color w:val="000000"/>
          <w:szCs w:val="32"/>
        </w:rPr>
        <w:t>推动智能体产业创新发展。强化智能体框架层创新应用，</w:t>
      </w:r>
      <w:r>
        <w:rPr>
          <w:rFonts w:ascii="仿宋_GB2312" w:hAnsi="仿宋_GB2312" w:cs="仿宋_GB2312" w:hint="eastAsia"/>
          <w:color w:val="000000"/>
          <w:szCs w:val="32"/>
        </w:rPr>
        <w:t>重点布局通用及行业智能体开发框架、智能助手与多智能体协作系统，打造智能体语料工具链和智能云底座。</w:t>
      </w:r>
      <w:r>
        <w:rPr>
          <w:rFonts w:ascii="仿宋_GB2312" w:hAnsi="仿宋_GB2312" w:cs="仿宋_GB2312" w:hint="eastAsia"/>
          <w:b/>
          <w:bCs/>
          <w:color w:val="000000"/>
          <w:szCs w:val="32"/>
        </w:rPr>
        <w:t>构建系统级智能体应用产品，</w:t>
      </w:r>
      <w:r>
        <w:rPr>
          <w:rFonts w:ascii="仿宋_GB2312" w:hAnsi="仿宋_GB2312" w:cs="仿宋_GB2312" w:hint="eastAsia"/>
          <w:color w:val="000000"/>
          <w:szCs w:val="32"/>
        </w:rPr>
        <w:t>培育智能体应用服务商，规模化落地行业软件、数字人及各类智能体产品，全面推广“智能体即服务（AaaS）”模式，孵化C端超级应用。</w:t>
      </w:r>
    </w:p>
    <w:p w:rsidR="009D15C7" w:rsidRDefault="00AA49B3" w:rsidP="00D9014E">
      <w:pPr>
        <w:widowControl/>
        <w:ind w:firstLineChars="200" w:firstLine="643"/>
        <w:jc w:val="both"/>
        <w:rPr>
          <w:rFonts w:ascii="仿宋_GB2312" w:hAnsi="仿宋_GB2312" w:cs="仿宋_GB2312"/>
          <w:bCs/>
          <w:szCs w:val="32"/>
        </w:rPr>
      </w:pPr>
      <w:r>
        <w:rPr>
          <w:rFonts w:ascii="仿宋_GB2312" w:hAnsi="仿宋_GB2312" w:cs="仿宋_GB2312" w:hint="eastAsia"/>
          <w:b/>
          <w:bCs/>
          <w:szCs w:val="32"/>
        </w:rPr>
        <w:t>加快培育智能终端产业。</w:t>
      </w:r>
      <w:r>
        <w:rPr>
          <w:rFonts w:ascii="仿宋_GB2312" w:hAnsi="仿宋_GB2312" w:cs="仿宋_GB2312" w:hint="eastAsia"/>
          <w:szCs w:val="32"/>
        </w:rPr>
        <w:t>支持端侧模型与开发工具链技术突破，推动智能购物、AR互动、无感支付等科技消费终端普及，培育智能手机、AI PC、智能眼镜等</w:t>
      </w:r>
      <w:r>
        <w:rPr>
          <w:rFonts w:ascii="仿宋_GB2312" w:hAnsi="仿宋_GB2312" w:cs="仿宋_GB2312" w:hint="eastAsia"/>
          <w:b/>
          <w:bCs/>
          <w:szCs w:val="32"/>
        </w:rPr>
        <w:t>智能消费终端</w:t>
      </w:r>
      <w:r>
        <w:rPr>
          <w:rFonts w:ascii="仿宋_GB2312" w:hAnsi="仿宋_GB2312" w:cs="仿宋_GB2312" w:hint="eastAsia"/>
          <w:szCs w:val="32"/>
        </w:rPr>
        <w:t>。</w:t>
      </w:r>
      <w:r>
        <w:rPr>
          <w:rFonts w:ascii="仿宋_GB2312" w:hAnsi="仿宋_GB2312" w:cs="仿宋_GB2312" w:hint="eastAsia"/>
          <w:szCs w:val="32"/>
        </w:rPr>
        <w:lastRenderedPageBreak/>
        <w:t>加快工业、AR/VR可穿戴、医疗、算力等</w:t>
      </w:r>
      <w:r>
        <w:rPr>
          <w:rFonts w:ascii="仿宋_GB2312" w:hAnsi="仿宋_GB2312" w:cs="仿宋_GB2312" w:hint="eastAsia"/>
          <w:b/>
          <w:bCs/>
          <w:szCs w:val="32"/>
        </w:rPr>
        <w:t>行业终端</w:t>
      </w:r>
      <w:r>
        <w:rPr>
          <w:rFonts w:ascii="仿宋_GB2312" w:hAnsi="仿宋_GB2312" w:cs="仿宋_GB2312" w:hint="eastAsia"/>
          <w:szCs w:val="32"/>
        </w:rPr>
        <w:t>研发生产。集聚智能驾驶核心技术，发展智能座舱、车载操作系统等</w:t>
      </w:r>
      <w:r>
        <w:rPr>
          <w:rFonts w:ascii="仿宋_GB2312" w:hAnsi="仿宋_GB2312" w:cs="仿宋_GB2312" w:hint="eastAsia"/>
          <w:b/>
          <w:bCs/>
          <w:szCs w:val="32"/>
        </w:rPr>
        <w:t>智能网联汽车产品。</w:t>
      </w:r>
      <w:r>
        <w:rPr>
          <w:rFonts w:ascii="仿宋_GB2312" w:hAnsi="仿宋_GB2312" w:cs="仿宋_GB2312" w:hint="eastAsia"/>
          <w:szCs w:val="32"/>
        </w:rPr>
        <w:t>支持机器人大模型、具身智能算法及底层操作系统研发，</w:t>
      </w:r>
      <w:r>
        <w:rPr>
          <w:rFonts w:ascii="仿宋_GB2312" w:hAnsi="仿宋_GB2312" w:cs="仿宋_GB2312" w:hint="eastAsia"/>
          <w:bCs/>
          <w:szCs w:val="32"/>
        </w:rPr>
        <w:t>加快灵巧手、高精度关节模组、新型传感器等核心部件量产落地，推动</w:t>
      </w:r>
      <w:r>
        <w:rPr>
          <w:rFonts w:ascii="仿宋_GB2312" w:hAnsi="仿宋_GB2312" w:cs="仿宋_GB2312" w:hint="eastAsia"/>
          <w:b/>
          <w:szCs w:val="32"/>
        </w:rPr>
        <w:t>具身智能</w:t>
      </w:r>
      <w:r>
        <w:rPr>
          <w:rFonts w:ascii="仿宋_GB2312" w:hAnsi="仿宋_GB2312" w:cs="仿宋_GB2312" w:hint="eastAsia"/>
          <w:bCs/>
          <w:szCs w:val="32"/>
        </w:rPr>
        <w:t>从样机验证迈向规模化制造。布局纳米机器人、类脑和量子终端等</w:t>
      </w:r>
      <w:r>
        <w:rPr>
          <w:rFonts w:ascii="仿宋_GB2312" w:hAnsi="仿宋_GB2312" w:cs="仿宋_GB2312" w:hint="eastAsia"/>
          <w:b/>
          <w:szCs w:val="32"/>
        </w:rPr>
        <w:t>未来终端矩阵</w:t>
      </w:r>
      <w:r>
        <w:rPr>
          <w:rFonts w:ascii="仿宋_GB2312" w:hAnsi="仿宋_GB2312" w:cs="仿宋_GB2312" w:hint="eastAsia"/>
          <w:b/>
          <w:bCs/>
          <w:szCs w:val="32"/>
        </w:rPr>
        <w:t>。</w:t>
      </w:r>
    </w:p>
    <w:p w:rsidR="009D15C7" w:rsidRDefault="00AA49B3" w:rsidP="00D9014E">
      <w:pPr>
        <w:pStyle w:val="3"/>
        <w:keepNext w:val="0"/>
        <w:keepLines w:val="0"/>
        <w:adjustRightInd w:val="0"/>
        <w:snapToGrid w:val="0"/>
        <w:ind w:firstLineChars="200" w:firstLine="643"/>
        <w:jc w:val="both"/>
        <w:rPr>
          <w:rFonts w:ascii="Times New Roman" w:hAnsi="Times New Roman" w:cs="仿宋_GB2312"/>
          <w:b w:val="0"/>
          <w:bCs/>
          <w:color w:val="auto"/>
          <w14:ligatures w14:val="none"/>
        </w:rPr>
      </w:pPr>
      <w:bookmarkStart w:id="45" w:name="_Toc23005"/>
      <w:bookmarkStart w:id="46" w:name="_Toc30847"/>
      <w:bookmarkStart w:id="47" w:name="_Toc5143"/>
      <w:r>
        <w:rPr>
          <w:rFonts w:ascii="Times New Roman" w:hAnsi="Times New Roman" w:cs="仿宋_GB2312" w:hint="eastAsia"/>
          <w:bCs/>
          <w:color w:val="auto"/>
          <w14:ligatures w14:val="none"/>
        </w:rPr>
        <w:t>3</w:t>
      </w:r>
      <w:r>
        <w:rPr>
          <w:rFonts w:ascii="Times New Roman" w:hAnsi="Times New Roman" w:cs="仿宋_GB2312" w:hint="eastAsia"/>
          <w:bCs/>
          <w:color w:val="auto"/>
          <w14:ligatures w14:val="none"/>
        </w:rPr>
        <w:t>、释放“人工智能</w:t>
      </w:r>
      <w:r>
        <w:rPr>
          <w:rFonts w:ascii="Times New Roman" w:hAnsi="Times New Roman" w:cs="仿宋_GB2312" w:hint="eastAsia"/>
          <w:bCs/>
          <w:color w:val="auto"/>
          <w14:ligatures w14:val="none"/>
        </w:rPr>
        <w:t>+</w:t>
      </w:r>
      <w:r>
        <w:rPr>
          <w:rFonts w:ascii="Times New Roman" w:hAnsi="Times New Roman" w:cs="仿宋_GB2312" w:hint="eastAsia"/>
          <w:bCs/>
          <w:color w:val="auto"/>
          <w14:ligatures w14:val="none"/>
        </w:rPr>
        <w:t>”全域赋能</w:t>
      </w:r>
      <w:bookmarkEnd w:id="45"/>
      <w:r>
        <w:rPr>
          <w:rFonts w:ascii="Times New Roman" w:hAnsi="Times New Roman" w:cs="仿宋_GB2312" w:hint="eastAsia"/>
          <w:bCs/>
          <w:color w:val="auto"/>
          <w14:ligatures w14:val="none"/>
        </w:rPr>
        <w:t>价值</w:t>
      </w:r>
      <w:bookmarkEnd w:id="46"/>
      <w:bookmarkEnd w:id="47"/>
    </w:p>
    <w:p w:rsidR="009D15C7" w:rsidRDefault="00AA49B3" w:rsidP="00D9014E">
      <w:pPr>
        <w:widowControl/>
        <w:ind w:firstLineChars="200" w:firstLine="643"/>
        <w:jc w:val="both"/>
        <w:rPr>
          <w:rFonts w:ascii="仿宋_GB2312" w:hAnsi="仿宋_GB2312" w:cs="仿宋_GB2312"/>
          <w:b/>
          <w:bCs/>
          <w:szCs w:val="32"/>
        </w:rPr>
      </w:pPr>
      <w:r>
        <w:rPr>
          <w:rFonts w:ascii="仿宋_GB2312" w:hAnsi="仿宋_GB2312" w:cs="仿宋_GB2312" w:hint="eastAsia"/>
          <w:b/>
          <w:bCs/>
          <w:szCs w:val="32"/>
        </w:rPr>
        <w:t>创新科研研发模式与场景应用。</w:t>
      </w:r>
      <w:r>
        <w:rPr>
          <w:rFonts w:ascii="仿宋_GB2312" w:hAnsi="仿宋_GB2312" w:cs="仿宋_GB2312" w:hint="eastAsia"/>
          <w:color w:val="000000"/>
        </w:rPr>
        <w:t>拓展</w:t>
      </w:r>
      <w:r>
        <w:rPr>
          <w:rFonts w:ascii="仿宋_GB2312" w:hAnsi="仿宋_GB2312" w:cs="仿宋_GB2312" w:hint="eastAsia"/>
          <w:b/>
          <w:bCs/>
          <w:color w:val="000000"/>
        </w:rPr>
        <w:t>科学智能</w:t>
      </w:r>
      <w:r>
        <w:rPr>
          <w:rFonts w:ascii="仿宋_GB2312" w:hAnsi="仿宋_GB2312" w:cs="仿宋_GB2312" w:hint="eastAsia"/>
          <w:color w:val="000000"/>
        </w:rPr>
        <w:t>发展</w:t>
      </w:r>
      <w:r>
        <w:rPr>
          <w:rFonts w:ascii="仿宋_GB2312" w:hAnsi="仿宋_GB2312" w:cs="仿宋_GB2312" w:hint="eastAsia"/>
          <w:b/>
          <w:bCs/>
          <w:color w:val="000000"/>
        </w:rPr>
        <w:t>，</w:t>
      </w:r>
      <w:r>
        <w:rPr>
          <w:rFonts w:ascii="仿宋_GB2312" w:hAnsi="仿宋_GB2312" w:cs="仿宋_GB2312" w:hint="eastAsia"/>
          <w:color w:val="000000"/>
        </w:rPr>
        <w:t>引育跨学科数据融合、知识工具增强等科创企业，赋能医药、材料、环保等领域智能升级。构建</w:t>
      </w:r>
      <w:r>
        <w:rPr>
          <w:rFonts w:ascii="仿宋_GB2312" w:hAnsi="仿宋_GB2312" w:cs="仿宋_GB2312" w:hint="eastAsia"/>
          <w:b/>
          <w:bCs/>
          <w:color w:val="000000"/>
        </w:rPr>
        <w:t>空间智能</w:t>
      </w:r>
      <w:r>
        <w:rPr>
          <w:rFonts w:ascii="仿宋_GB2312" w:hAnsi="仿宋_GB2312" w:cs="仿宋_GB2312" w:hint="eastAsia"/>
          <w:color w:val="000000"/>
        </w:rPr>
        <w:t>新优势，加快天地一体化感知网络的商用落地，集聚空间计算、感知交互企业，推动低空设备与城市物联网深度协同。深化</w:t>
      </w:r>
      <w:r>
        <w:rPr>
          <w:rFonts w:ascii="仿宋_GB2312" w:hAnsi="仿宋_GB2312" w:cs="仿宋_GB2312" w:hint="eastAsia"/>
          <w:b/>
          <w:bCs/>
          <w:color w:val="000000"/>
        </w:rPr>
        <w:t>物理智能</w:t>
      </w:r>
      <w:r>
        <w:rPr>
          <w:rFonts w:ascii="仿宋_GB2312" w:hAnsi="仿宋_GB2312" w:cs="仿宋_GB2312" w:hint="eastAsia"/>
          <w:color w:val="000000"/>
        </w:rPr>
        <w:t>“感知-推理-行动”模型研究，加快先进传感器、软体材料和边缘计算等技术融合，加速物理AI从原型走向量产。打造</w:t>
      </w:r>
      <w:r>
        <w:rPr>
          <w:rFonts w:ascii="仿宋_GB2312" w:hAnsi="仿宋_GB2312" w:cs="仿宋_GB2312" w:hint="eastAsia"/>
          <w:b/>
          <w:bCs/>
          <w:color w:val="000000"/>
        </w:rPr>
        <w:t>工程智能</w:t>
      </w:r>
      <w:r>
        <w:rPr>
          <w:rFonts w:ascii="仿宋_GB2312" w:hAnsi="仿宋_GB2312" w:cs="仿宋_GB2312" w:hint="eastAsia"/>
          <w:color w:val="000000"/>
        </w:rPr>
        <w:t>核心引擎，探索工程智能在制造、能源和城市规划等领域规模化应用。</w:t>
      </w:r>
    </w:p>
    <w:p w:rsidR="009D15C7" w:rsidRDefault="00AA49B3" w:rsidP="00D9014E">
      <w:pPr>
        <w:widowControl/>
        <w:ind w:firstLineChars="200" w:firstLine="643"/>
        <w:jc w:val="both"/>
        <w:rPr>
          <w:rFonts w:ascii="仿宋_GB2312" w:hAnsi="仿宋_GB2312" w:cs="仿宋_GB2312"/>
          <w:b/>
          <w:bCs/>
          <w:szCs w:val="32"/>
        </w:rPr>
      </w:pPr>
      <w:r>
        <w:rPr>
          <w:rFonts w:ascii="仿宋_GB2312" w:hAnsi="仿宋_GB2312" w:cs="仿宋_GB2312" w:hint="eastAsia"/>
          <w:b/>
          <w:bCs/>
          <w:szCs w:val="32"/>
        </w:rPr>
        <w:t>做强智能生产服务体系。围绕智能制造</w:t>
      </w:r>
      <w:r>
        <w:rPr>
          <w:rFonts w:ascii="仿宋_GB2312" w:hAnsi="仿宋_GB2312" w:cs="仿宋_GB2312" w:hint="eastAsia"/>
          <w:szCs w:val="32"/>
        </w:rPr>
        <w:t>，加快工业软件创新，推动大模型技术深度嵌入研发设计、中试验证、生产制造、营销服务等全流程，构建智能化生产体系。</w:t>
      </w:r>
      <w:r>
        <w:rPr>
          <w:rFonts w:ascii="仿宋_GB2312" w:hAnsi="仿宋_GB2312" w:cs="仿宋_GB2312" w:hint="eastAsia"/>
          <w:b/>
          <w:bCs/>
          <w:szCs w:val="32"/>
        </w:rPr>
        <w:t>围绕智能能源，</w:t>
      </w:r>
      <w:r>
        <w:rPr>
          <w:rFonts w:ascii="仿宋_GB2312" w:hAnsi="仿宋_GB2312" w:cs="仿宋_GB2312" w:hint="eastAsia"/>
          <w:szCs w:val="32"/>
        </w:rPr>
        <w:t>深化能源与碳排放管理、智能运维、资源循环利用等关键环节，研发AI驱动的精益建造与能效优化解决方案。</w:t>
      </w:r>
      <w:r>
        <w:rPr>
          <w:rFonts w:ascii="仿宋_GB2312" w:hAnsi="仿宋_GB2312" w:cs="仿宋_GB2312" w:hint="eastAsia"/>
          <w:b/>
          <w:bCs/>
          <w:szCs w:val="32"/>
        </w:rPr>
        <w:t>围绕智能服务，</w:t>
      </w:r>
      <w:r>
        <w:rPr>
          <w:rFonts w:ascii="仿宋_GB2312" w:hAnsi="仿宋_GB2312" w:cs="仿宋_GB2312" w:hint="eastAsia"/>
          <w:szCs w:val="32"/>
        </w:rPr>
        <w:t>推动AI技术在风控防御、法律咨询、财税管理、智慧客服等应用场景的智能化升级。</w:t>
      </w:r>
    </w:p>
    <w:p w:rsidR="009D15C7" w:rsidRDefault="00AA49B3" w:rsidP="00D9014E">
      <w:pPr>
        <w:widowControl/>
        <w:ind w:firstLineChars="200" w:firstLine="643"/>
        <w:jc w:val="both"/>
        <w:rPr>
          <w:rFonts w:ascii="仿宋_GB2312" w:hAnsi="仿宋_GB2312" w:cs="仿宋_GB2312"/>
          <w:szCs w:val="32"/>
        </w:rPr>
      </w:pPr>
      <w:r>
        <w:rPr>
          <w:rFonts w:ascii="仿宋_GB2312" w:hAnsi="仿宋_GB2312" w:cs="仿宋_GB2312" w:hint="eastAsia"/>
          <w:b/>
          <w:bCs/>
          <w:szCs w:val="32"/>
        </w:rPr>
        <w:lastRenderedPageBreak/>
        <w:t>做大智能生活消费业态。文体娱领域，</w:t>
      </w:r>
      <w:r>
        <w:rPr>
          <w:rFonts w:ascii="仿宋_GB2312" w:hAnsi="仿宋_GB2312" w:cs="仿宋_GB2312" w:hint="eastAsia"/>
          <w:szCs w:val="32"/>
        </w:rPr>
        <w:t>强化大模型对内容创作、传播、运营的全流程赋能，发展智能生成、智能引擎与虚拟空间。</w:t>
      </w:r>
      <w:r>
        <w:rPr>
          <w:rFonts w:ascii="仿宋_GB2312" w:hAnsi="仿宋_GB2312" w:cs="仿宋_GB2312"/>
          <w:b/>
          <w:bCs/>
          <w:szCs w:val="32"/>
        </w:rPr>
        <w:t>时尚</w:t>
      </w:r>
      <w:r>
        <w:rPr>
          <w:rFonts w:ascii="仿宋_GB2312" w:hAnsi="仿宋_GB2312" w:cs="仿宋_GB2312" w:hint="eastAsia"/>
          <w:b/>
          <w:bCs/>
          <w:szCs w:val="32"/>
        </w:rPr>
        <w:t>消费领域</w:t>
      </w:r>
      <w:r>
        <w:rPr>
          <w:rFonts w:ascii="仿宋_GB2312" w:hAnsi="仿宋_GB2312" w:cs="仿宋_GB2312" w:hint="eastAsia"/>
          <w:szCs w:val="32"/>
        </w:rPr>
        <w:t>，重点推动潮玩手办智能化设计、电子产品时尚化AI创新、服饰设计与材料研发智能升级，打造智能导购、无人销售等重点场景。</w:t>
      </w:r>
      <w:r>
        <w:rPr>
          <w:rFonts w:ascii="仿宋_GB2312" w:hAnsi="仿宋_GB2312" w:cs="仿宋_GB2312" w:hint="eastAsia"/>
          <w:b/>
          <w:bCs/>
          <w:szCs w:val="32"/>
        </w:rPr>
        <w:t>医疗健康领域，</w:t>
      </w:r>
      <w:r>
        <w:rPr>
          <w:rFonts w:ascii="仿宋_GB2312" w:hAnsi="仿宋_GB2312" w:cs="仿宋_GB2312" w:hint="eastAsia"/>
          <w:szCs w:val="32"/>
        </w:rPr>
        <w:t>大力发展医疗影像诊断、疾病预测、新药研发、可穿戴与情感交互系统。</w:t>
      </w:r>
    </w:p>
    <w:p w:rsidR="009D15C7" w:rsidRDefault="00AA49B3">
      <w:pPr>
        <w:pStyle w:val="2"/>
      </w:pPr>
      <w:bookmarkStart w:id="48" w:name="_Toc1608"/>
      <w:bookmarkStart w:id="49" w:name="_Toc202972326"/>
      <w:bookmarkStart w:id="50" w:name="_Toc208142485"/>
      <w:bookmarkStart w:id="51" w:name="_Toc5233"/>
      <w:bookmarkStart w:id="52" w:name="_Toc29812"/>
      <w:bookmarkStart w:id="53" w:name="_Hlk203645844"/>
      <w:bookmarkStart w:id="54" w:name="_Hlk202451363"/>
      <w:bookmarkStart w:id="55" w:name="_Hlk202535696"/>
      <w:bookmarkEnd w:id="34"/>
      <w:bookmarkEnd w:id="39"/>
      <w:bookmarkEnd w:id="40"/>
      <w:r>
        <w:rPr>
          <w:rFonts w:hint="eastAsia"/>
        </w:rPr>
        <w:t>（二）提质发展五大优势产业，构筑新兴产业集聚区</w:t>
      </w:r>
      <w:bookmarkEnd w:id="48"/>
      <w:bookmarkEnd w:id="49"/>
      <w:bookmarkEnd w:id="50"/>
      <w:bookmarkEnd w:id="51"/>
      <w:bookmarkEnd w:id="52"/>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56" w:name="_Toc25859"/>
      <w:bookmarkStart w:id="57" w:name="_Toc20912"/>
      <w:bookmarkStart w:id="58" w:name="_Toc208142491"/>
      <w:bookmarkStart w:id="59" w:name="_Toc26479"/>
      <w:bookmarkStart w:id="60" w:name="_Hlk206594896"/>
      <w:bookmarkStart w:id="61" w:name="_Toc208142487"/>
      <w:bookmarkStart w:id="62" w:name="_Hlk202970837"/>
      <w:r>
        <w:rPr>
          <w:rFonts w:ascii="Times New Roman" w:hAnsi="Times New Roman" w:cs="仿宋_GB2312" w:hint="eastAsia"/>
          <w:bCs/>
          <w:color w:val="auto"/>
          <w14:ligatures w14:val="none"/>
        </w:rPr>
        <w:t>1</w:t>
      </w:r>
      <w:r>
        <w:rPr>
          <w:rFonts w:ascii="Times New Roman" w:hAnsi="Times New Roman" w:cs="仿宋_GB2312" w:hint="eastAsia"/>
          <w:bCs/>
          <w:color w:val="auto"/>
          <w14:ligatures w14:val="none"/>
        </w:rPr>
        <w:t>、转型升级现代商贸</w:t>
      </w:r>
      <w:bookmarkEnd w:id="56"/>
      <w:bookmarkEnd w:id="57"/>
      <w:bookmarkEnd w:id="58"/>
      <w:r>
        <w:rPr>
          <w:rFonts w:ascii="Times New Roman" w:hAnsi="Times New Roman" w:cs="仿宋_GB2312" w:hint="eastAsia"/>
          <w:bCs/>
          <w:color w:val="auto"/>
          <w14:ligatures w14:val="none"/>
        </w:rPr>
        <w:t>业</w:t>
      </w:r>
      <w:bookmarkEnd w:id="59"/>
    </w:p>
    <w:p w:rsidR="009D15C7" w:rsidRDefault="00AA49B3" w:rsidP="00D9014E">
      <w:pPr>
        <w:widowControl/>
        <w:ind w:firstLineChars="200" w:firstLine="643"/>
        <w:rPr>
          <w:rFonts w:ascii="Times New Roman" w:hAnsi="Times New Roman"/>
          <w:szCs w:val="32"/>
        </w:rPr>
      </w:pPr>
      <w:bookmarkStart w:id="63" w:name="_Hlk206579464"/>
      <w:r>
        <w:rPr>
          <w:rFonts w:ascii="Times New Roman" w:hAnsi="Times New Roman" w:hint="eastAsia"/>
          <w:b/>
          <w:bCs/>
          <w:szCs w:val="32"/>
        </w:rPr>
        <w:t>推动批发零售业转型升级。构建多元化消费品牌矩阵，</w:t>
      </w:r>
      <w:r>
        <w:rPr>
          <w:rFonts w:ascii="Times New Roman" w:hAnsi="Times New Roman" w:hint="eastAsia"/>
          <w:szCs w:val="32"/>
        </w:rPr>
        <w:t>集聚国际知名品牌、原创设计师品牌、高级定制品牌，争取全球新品的同步上市。做强国货潮品，推动老字号传承创新。发力自动驾驶、人形机器人、智能家居等科技新品首发，培育消费新赛道。</w:t>
      </w:r>
      <w:r>
        <w:rPr>
          <w:rFonts w:ascii="Times New Roman" w:hAnsi="Times New Roman" w:hint="eastAsia"/>
          <w:b/>
          <w:bCs/>
          <w:szCs w:val="32"/>
        </w:rPr>
        <w:t>推动文商旅体展融合互促，</w:t>
      </w:r>
      <w:r>
        <w:rPr>
          <w:rFonts w:ascii="Times New Roman" w:hAnsi="Times New Roman" w:hint="eastAsia"/>
          <w:szCs w:val="32"/>
        </w:rPr>
        <w:t>完善高端住宿餐饮配套，促进演出赛事与零售、餐饮、酒店场景联动。</w:t>
      </w:r>
      <w:r>
        <w:rPr>
          <w:rFonts w:ascii="Times New Roman" w:hAnsi="Times New Roman" w:hint="eastAsia"/>
          <w:b/>
          <w:bCs/>
          <w:szCs w:val="32"/>
        </w:rPr>
        <w:t>培育新兴消费业态，</w:t>
      </w:r>
      <w:r>
        <w:rPr>
          <w:rFonts w:ascii="Times New Roman" w:hAnsi="Times New Roman" w:hint="eastAsia"/>
          <w:szCs w:val="32"/>
        </w:rPr>
        <w:t>鼓励开设特色首店，推动首店向总店、总部提升发展，拓展电竞、直播等新业态。推动食品、服装、美妆、医药等</w:t>
      </w:r>
      <w:r>
        <w:rPr>
          <w:rFonts w:ascii="Times New Roman" w:hAnsi="Times New Roman" w:hint="eastAsia"/>
          <w:b/>
          <w:bCs/>
          <w:szCs w:val="32"/>
        </w:rPr>
        <w:t>批发业转型</w:t>
      </w:r>
      <w:r>
        <w:rPr>
          <w:rFonts w:ascii="Times New Roman" w:hAnsi="Times New Roman" w:hint="eastAsia"/>
          <w:szCs w:val="32"/>
        </w:rPr>
        <w:t>，集聚大宗商品交易业态。</w:t>
      </w:r>
    </w:p>
    <w:p w:rsidR="009D15C7" w:rsidRDefault="00AA49B3" w:rsidP="00D9014E">
      <w:pPr>
        <w:ind w:firstLineChars="200" w:firstLine="643"/>
        <w:rPr>
          <w:rFonts w:ascii="Times New Roman" w:hAnsi="Times New Roman"/>
          <w:szCs w:val="32"/>
        </w:rPr>
      </w:pPr>
      <w:r>
        <w:rPr>
          <w:rFonts w:ascii="Times New Roman" w:hAnsi="Times New Roman" w:hint="eastAsia"/>
          <w:b/>
          <w:bCs/>
          <w:szCs w:val="32"/>
        </w:rPr>
        <w:t>促进对外贸易可持续发展。推动货物贸易保稳提质，</w:t>
      </w:r>
      <w:r>
        <w:rPr>
          <w:rFonts w:ascii="Times New Roman" w:hAnsi="Times New Roman" w:hint="eastAsia"/>
          <w:szCs w:val="32"/>
        </w:rPr>
        <w:t>加强服装箱包、国货美妆、医疗器械等商品进出口，扩大户外运动、轻奢等特色优质产品进口。</w:t>
      </w:r>
      <w:r>
        <w:rPr>
          <w:rFonts w:ascii="Times New Roman" w:hAnsi="Times New Roman" w:hint="eastAsia"/>
          <w:b/>
          <w:bCs/>
          <w:szCs w:val="32"/>
        </w:rPr>
        <w:t>推动数字贸易创新发展，</w:t>
      </w:r>
      <w:r>
        <w:rPr>
          <w:rFonts w:ascii="Times New Roman" w:hAnsi="Times New Roman" w:hint="eastAsia"/>
          <w:szCs w:val="32"/>
        </w:rPr>
        <w:t>稳步扩大软件开发、大数据服务等进出口规模。</w:t>
      </w:r>
      <w:r>
        <w:rPr>
          <w:rFonts w:ascii="Times New Roman" w:hAnsi="Times New Roman" w:hint="eastAsia"/>
          <w:b/>
          <w:bCs/>
          <w:szCs w:val="32"/>
        </w:rPr>
        <w:t>加速文化贸易出海步伐，</w:t>
      </w:r>
      <w:r>
        <w:rPr>
          <w:rFonts w:ascii="Times New Roman" w:hAnsi="Times New Roman" w:hint="eastAsia"/>
          <w:szCs w:val="32"/>
        </w:rPr>
        <w:t>优化游戏版号供给，推动精品出版物、影视、</w:t>
      </w:r>
      <w:r>
        <w:rPr>
          <w:rFonts w:ascii="Times New Roman" w:hAnsi="Times New Roman" w:hint="eastAsia"/>
          <w:szCs w:val="32"/>
        </w:rPr>
        <w:lastRenderedPageBreak/>
        <w:t>演艺作品的海外传播，助推文化贸易“千帆出海”。</w:t>
      </w:r>
      <w:r>
        <w:rPr>
          <w:rFonts w:ascii="Times New Roman" w:hAnsi="Times New Roman" w:hint="eastAsia"/>
          <w:b/>
          <w:bCs/>
          <w:szCs w:val="32"/>
        </w:rPr>
        <w:t>扩大服务贸易改革试点，</w:t>
      </w:r>
      <w:r>
        <w:rPr>
          <w:rFonts w:ascii="Times New Roman" w:hAnsi="Times New Roman" w:hint="eastAsia"/>
          <w:szCs w:val="32"/>
        </w:rPr>
        <w:t>集聚金融信息、金融数据和分析工具服务商，试点跨境电商零售进口药品及医疗器械业务，丰富数字交付、供应链管理等服务供给。</w:t>
      </w:r>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64" w:name="_Toc16573"/>
      <w:bookmarkStart w:id="65" w:name="_Toc1503"/>
      <w:bookmarkStart w:id="66" w:name="_Hlk202882601"/>
      <w:bookmarkStart w:id="67" w:name="_Toc208142488"/>
      <w:bookmarkStart w:id="68" w:name="_Toc30031"/>
      <w:bookmarkEnd w:id="63"/>
      <w:r>
        <w:rPr>
          <w:rFonts w:ascii="Times New Roman" w:hAnsi="Times New Roman" w:cs="仿宋_GB2312" w:hint="eastAsia"/>
          <w:bCs/>
          <w:color w:val="auto"/>
          <w14:ligatures w14:val="none"/>
        </w:rPr>
        <w:t>2</w:t>
      </w:r>
      <w:r>
        <w:rPr>
          <w:rFonts w:ascii="Times New Roman" w:hAnsi="Times New Roman" w:cs="仿宋_GB2312" w:hint="eastAsia"/>
          <w:bCs/>
          <w:color w:val="auto"/>
          <w14:ligatures w14:val="none"/>
        </w:rPr>
        <w:t>、繁荣发展文化创意产业</w:t>
      </w:r>
      <w:bookmarkEnd w:id="64"/>
      <w:bookmarkEnd w:id="65"/>
    </w:p>
    <w:p w:rsidR="009D15C7" w:rsidRDefault="00AA49B3" w:rsidP="00D9014E">
      <w:pPr>
        <w:ind w:firstLineChars="200" w:firstLine="643"/>
        <w:jc w:val="both"/>
        <w:rPr>
          <w:rFonts w:ascii="Times New Roman" w:hAnsi="Times New Roman"/>
          <w:szCs w:val="32"/>
        </w:rPr>
      </w:pPr>
      <w:r>
        <w:rPr>
          <w:rFonts w:ascii="Times New Roman" w:hAnsi="Times New Roman" w:hint="eastAsia"/>
          <w:b/>
          <w:bCs/>
          <w:szCs w:val="32"/>
        </w:rPr>
        <w:t>扎实推进内容创作生产。推动游戏产业全场景体验升级，</w:t>
      </w:r>
      <w:r>
        <w:rPr>
          <w:rFonts w:ascii="Times New Roman" w:hAnsi="Times New Roman" w:hint="eastAsia"/>
          <w:szCs w:val="32"/>
        </w:rPr>
        <w:t>研发运营原创游戏精品，鼓励</w:t>
      </w:r>
      <w:r>
        <w:rPr>
          <w:rFonts w:ascii="Times New Roman" w:hAnsi="Times New Roman" w:hint="eastAsia"/>
          <w:szCs w:val="32"/>
        </w:rPr>
        <w:t>AI</w:t>
      </w:r>
      <w:r>
        <w:rPr>
          <w:rFonts w:ascii="Times New Roman" w:hAnsi="Times New Roman" w:hint="eastAsia"/>
          <w:szCs w:val="32"/>
        </w:rPr>
        <w:t>大模型、区块链等技术与终端设备深度融合应用，支持游戏产品出海。培育自有品牌电竞赛事、引进国际赛事，支持电竞场馆等重点场景建设以及电竞俱乐部发展。</w:t>
      </w:r>
      <w:r>
        <w:rPr>
          <w:rFonts w:ascii="Times New Roman" w:hAnsi="Times New Roman" w:hint="eastAsia"/>
          <w:b/>
          <w:bCs/>
          <w:szCs w:val="32"/>
        </w:rPr>
        <w:t>创新发展影视演艺产业，</w:t>
      </w:r>
      <w:r>
        <w:rPr>
          <w:rFonts w:ascii="Times New Roman" w:hAnsi="Times New Roman" w:hint="eastAsia"/>
          <w:szCs w:val="32"/>
        </w:rPr>
        <w:t>加快演唱会、小剧场、脱口秀等演艺场馆建设，吸引优秀演艺项目落地，培育沉浸式互动剧、</w:t>
      </w:r>
      <w:r>
        <w:rPr>
          <w:rFonts w:ascii="Times New Roman" w:hAnsi="Times New Roman" w:hint="eastAsia"/>
          <w:szCs w:val="32"/>
        </w:rPr>
        <w:t>Live House</w:t>
      </w:r>
      <w:r>
        <w:rPr>
          <w:rFonts w:ascii="Times New Roman" w:hAnsi="Times New Roman" w:hint="eastAsia"/>
          <w:szCs w:val="32"/>
        </w:rPr>
        <w:t>等多元演出业态，开发艺人经济、剧场院线等板块。吸引知名演艺、展会主办企业、经纪机构、票务公司等主体落户徐汇。推动优质短剧、微短视频、</w:t>
      </w:r>
      <w:r>
        <w:rPr>
          <w:rFonts w:ascii="Times New Roman" w:hAnsi="Times New Roman" w:hint="eastAsia"/>
          <w:szCs w:val="32"/>
        </w:rPr>
        <w:t>AI</w:t>
      </w:r>
      <w:r>
        <w:rPr>
          <w:rFonts w:ascii="Times New Roman" w:hAnsi="Times New Roman" w:hint="eastAsia"/>
          <w:szCs w:val="32"/>
        </w:rPr>
        <w:t>漫剧等内容的首发首播及市场转化，</w:t>
      </w:r>
      <w:r>
        <w:rPr>
          <w:rFonts w:ascii="Times New Roman" w:hAnsi="Times New Roman" w:hint="eastAsia"/>
          <w:b/>
          <w:bCs/>
          <w:szCs w:val="32"/>
        </w:rPr>
        <w:t>打造</w:t>
      </w:r>
      <w:r>
        <w:rPr>
          <w:rFonts w:ascii="Times New Roman" w:hAnsi="Times New Roman" w:hint="eastAsia"/>
          <w:b/>
          <w:bCs/>
          <w:szCs w:val="32"/>
        </w:rPr>
        <w:t>AI</w:t>
      </w:r>
      <w:r>
        <w:rPr>
          <w:rFonts w:ascii="Times New Roman" w:hAnsi="Times New Roman" w:hint="eastAsia"/>
          <w:b/>
          <w:bCs/>
          <w:szCs w:val="32"/>
        </w:rPr>
        <w:t>数字内容创制基地</w:t>
      </w:r>
      <w:r>
        <w:rPr>
          <w:rFonts w:ascii="Times New Roman" w:hAnsi="Times New Roman" w:hint="eastAsia"/>
          <w:szCs w:val="32"/>
        </w:rPr>
        <w:t>。</w:t>
      </w:r>
    </w:p>
    <w:p w:rsidR="009D15C7" w:rsidRDefault="00AA49B3" w:rsidP="00D9014E">
      <w:pPr>
        <w:ind w:firstLineChars="200" w:firstLine="643"/>
        <w:jc w:val="both"/>
        <w:rPr>
          <w:rFonts w:ascii="Times New Roman" w:hAnsi="Times New Roman"/>
          <w:szCs w:val="32"/>
        </w:rPr>
      </w:pPr>
      <w:r>
        <w:rPr>
          <w:rFonts w:ascii="Times New Roman" w:hAnsi="Times New Roman" w:hint="eastAsia"/>
          <w:b/>
          <w:bCs/>
          <w:szCs w:val="32"/>
        </w:rPr>
        <w:t>打造文化娱乐休闲服务新体验。做强休闲文创产业</w:t>
      </w:r>
      <w:r>
        <w:rPr>
          <w:rFonts w:ascii="Times New Roman" w:hAnsi="Times New Roman" w:hint="eastAsia"/>
          <w:szCs w:val="32"/>
        </w:rPr>
        <w:t>，创新</w:t>
      </w:r>
      <w:r>
        <w:rPr>
          <w:rFonts w:ascii="Times New Roman" w:hAnsi="Times New Roman" w:hint="eastAsia"/>
          <w:szCs w:val="32"/>
        </w:rPr>
        <w:t>IP</w:t>
      </w:r>
      <w:r>
        <w:rPr>
          <w:rFonts w:ascii="Times New Roman" w:hAnsi="Times New Roman" w:hint="eastAsia"/>
          <w:szCs w:val="32"/>
        </w:rPr>
        <w:t>衍生品品牌，开发服装、文具、美妆、盲盒、手办等联名新品与衍生爆品，打造次元漫游节及二次元氛围的商业综合体。</w:t>
      </w:r>
      <w:r>
        <w:rPr>
          <w:rFonts w:ascii="Times New Roman" w:hAnsi="Times New Roman" w:hint="eastAsia"/>
          <w:b/>
          <w:bCs/>
          <w:szCs w:val="32"/>
        </w:rPr>
        <w:t>打造文旅体验产品矩阵，</w:t>
      </w:r>
      <w:r>
        <w:rPr>
          <w:rFonts w:ascii="Times New Roman" w:hAnsi="Times New Roman" w:hint="eastAsia"/>
          <w:szCs w:val="32"/>
        </w:rPr>
        <w:t>以“徐家汇</w:t>
      </w:r>
      <w:r>
        <w:rPr>
          <w:rFonts w:ascii="Times New Roman" w:hAnsi="Times New Roman" w:hint="eastAsia"/>
          <w:szCs w:val="32"/>
        </w:rPr>
        <w:t>-</w:t>
      </w:r>
      <w:r>
        <w:rPr>
          <w:rFonts w:ascii="Times New Roman" w:hAnsi="Times New Roman" w:hint="eastAsia"/>
          <w:szCs w:val="32"/>
        </w:rPr>
        <w:t>衡复</w:t>
      </w:r>
      <w:r>
        <w:rPr>
          <w:rFonts w:ascii="Times New Roman" w:hAnsi="Times New Roman" w:hint="eastAsia"/>
          <w:szCs w:val="32"/>
        </w:rPr>
        <w:t>-</w:t>
      </w:r>
      <w:r>
        <w:rPr>
          <w:rFonts w:ascii="Times New Roman" w:hAnsi="Times New Roman" w:hint="eastAsia"/>
          <w:szCs w:val="32"/>
        </w:rPr>
        <w:t>西岸滨江”为节点，</w:t>
      </w:r>
      <w:r>
        <w:rPr>
          <w:rFonts w:hint="eastAsia"/>
          <w:szCs w:val="32"/>
        </w:rPr>
        <w:t>加强文旅资源与商圈活动、体育赛事、影视演艺、博物馆等合作，推出“影视</w:t>
      </w:r>
      <w:r>
        <w:rPr>
          <w:rFonts w:hint="eastAsia"/>
          <w:szCs w:val="32"/>
        </w:rPr>
        <w:t>+</w:t>
      </w:r>
      <w:r>
        <w:rPr>
          <w:rFonts w:hint="eastAsia"/>
          <w:szCs w:val="32"/>
        </w:rPr>
        <w:t>文旅”“科技</w:t>
      </w:r>
      <w:r>
        <w:rPr>
          <w:rFonts w:hint="eastAsia"/>
          <w:szCs w:val="32"/>
        </w:rPr>
        <w:t>+</w:t>
      </w:r>
      <w:r>
        <w:rPr>
          <w:rFonts w:hint="eastAsia"/>
          <w:szCs w:val="32"/>
        </w:rPr>
        <w:t>文旅”“赛娱</w:t>
      </w:r>
      <w:r>
        <w:rPr>
          <w:rFonts w:hint="eastAsia"/>
          <w:szCs w:val="32"/>
        </w:rPr>
        <w:t>+</w:t>
      </w:r>
      <w:r>
        <w:rPr>
          <w:rFonts w:hint="eastAsia"/>
          <w:szCs w:val="32"/>
        </w:rPr>
        <w:t>文旅”等跨界融合</w:t>
      </w:r>
      <w:r>
        <w:rPr>
          <w:rFonts w:ascii="Times New Roman" w:hAnsi="Times New Roman" w:hint="eastAsia"/>
          <w:szCs w:val="32"/>
        </w:rPr>
        <w:t>消费产品。加快徐汇艺术馆、龙美术馆（西</w:t>
      </w:r>
      <w:r>
        <w:rPr>
          <w:rFonts w:ascii="Times New Roman" w:hAnsi="Times New Roman" w:hint="eastAsia"/>
          <w:szCs w:val="32"/>
        </w:rPr>
        <w:lastRenderedPageBreak/>
        <w:t>岸馆）、油罐艺术中心等品牌打造。</w:t>
      </w:r>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69" w:name="_Toc6695"/>
      <w:bookmarkStart w:id="70" w:name="_Toc154"/>
      <w:bookmarkStart w:id="71" w:name="_Toc30113"/>
      <w:bookmarkEnd w:id="66"/>
      <w:bookmarkEnd w:id="67"/>
      <w:bookmarkEnd w:id="68"/>
      <w:r>
        <w:rPr>
          <w:rFonts w:ascii="Times New Roman" w:hAnsi="Times New Roman" w:cs="仿宋_GB2312" w:hint="eastAsia"/>
          <w:bCs/>
          <w:color w:val="auto"/>
          <w14:ligatures w14:val="none"/>
        </w:rPr>
        <w:t>3</w:t>
      </w:r>
      <w:r>
        <w:rPr>
          <w:rFonts w:ascii="Times New Roman" w:hAnsi="Times New Roman" w:cs="仿宋_GB2312" w:hint="eastAsia"/>
          <w:bCs/>
          <w:color w:val="auto"/>
          <w14:ligatures w14:val="none"/>
        </w:rPr>
        <w:t>、巩固提升生命健康产业</w:t>
      </w:r>
      <w:bookmarkEnd w:id="69"/>
      <w:bookmarkEnd w:id="70"/>
    </w:p>
    <w:p w:rsidR="009D15C7" w:rsidRDefault="00AA49B3" w:rsidP="00D9014E">
      <w:pPr>
        <w:ind w:firstLineChars="200" w:firstLine="643"/>
        <w:jc w:val="both"/>
        <w:rPr>
          <w:rFonts w:ascii="Times New Roman" w:hAnsi="Times New Roman"/>
          <w:szCs w:val="32"/>
        </w:rPr>
      </w:pPr>
      <w:r>
        <w:rPr>
          <w:rFonts w:ascii="Times New Roman" w:hAnsi="Times New Roman" w:hint="eastAsia"/>
          <w:b/>
          <w:bCs/>
          <w:szCs w:val="32"/>
        </w:rPr>
        <w:t>创新生物医药产品研发。</w:t>
      </w:r>
      <w:r>
        <w:rPr>
          <w:rFonts w:ascii="Times New Roman" w:hAnsi="Times New Roman" w:hint="eastAsia"/>
          <w:szCs w:val="32"/>
        </w:rPr>
        <w:t>推动抗体偶联药物、细胞基因治疗药物、重组蛋白药物等</w:t>
      </w:r>
      <w:r>
        <w:rPr>
          <w:rFonts w:ascii="Times New Roman" w:hAnsi="Times New Roman" w:hint="eastAsia"/>
          <w:b/>
          <w:bCs/>
          <w:szCs w:val="32"/>
        </w:rPr>
        <w:t>产品研发和产业化</w:t>
      </w:r>
      <w:r>
        <w:rPr>
          <w:rFonts w:ascii="Times New Roman" w:hAnsi="Times New Roman" w:hint="eastAsia"/>
          <w:szCs w:val="32"/>
        </w:rPr>
        <w:t>，鼓励药企开展对外授权、合作开发等多元化</w:t>
      </w:r>
      <w:r>
        <w:rPr>
          <w:rFonts w:ascii="Times New Roman" w:hAnsi="Times New Roman" w:hint="eastAsia"/>
          <w:szCs w:val="32"/>
        </w:rPr>
        <w:t>BD</w:t>
      </w:r>
      <w:r>
        <w:rPr>
          <w:rFonts w:ascii="Times New Roman" w:hAnsi="Times New Roman" w:hint="eastAsia"/>
          <w:szCs w:val="32"/>
        </w:rPr>
        <w:t>模式，支持创新药全球化发展。</w:t>
      </w:r>
      <w:r>
        <w:rPr>
          <w:rFonts w:ascii="Times New Roman" w:hAnsi="Times New Roman" w:hint="eastAsia"/>
          <w:b/>
          <w:bCs/>
          <w:szCs w:val="32"/>
        </w:rPr>
        <w:t>加速</w:t>
      </w:r>
      <w:r>
        <w:rPr>
          <w:rFonts w:ascii="Times New Roman" w:hAnsi="Times New Roman" w:hint="eastAsia"/>
          <w:b/>
          <w:bCs/>
          <w:szCs w:val="32"/>
        </w:rPr>
        <w:t>AI</w:t>
      </w:r>
      <w:r>
        <w:rPr>
          <w:rFonts w:ascii="Times New Roman" w:hAnsi="Times New Roman" w:hint="eastAsia"/>
          <w:b/>
          <w:bCs/>
          <w:szCs w:val="32"/>
        </w:rPr>
        <w:t>赋能医药研发，</w:t>
      </w:r>
      <w:r>
        <w:rPr>
          <w:rFonts w:ascii="Times New Roman" w:hAnsi="Times New Roman" w:hint="eastAsia"/>
          <w:szCs w:val="32"/>
        </w:rPr>
        <w:t>鼓励人工智能在新药靶点识别、药物分子筛选、临床试验设计等环节智能化应用，有效缩短研发周期、降低开发成本。</w:t>
      </w:r>
      <w:r>
        <w:rPr>
          <w:rFonts w:ascii="Times New Roman" w:hAnsi="Times New Roman" w:hint="eastAsia"/>
          <w:b/>
          <w:bCs/>
          <w:szCs w:val="32"/>
        </w:rPr>
        <w:t>推动大型医药流通企业业务转型，</w:t>
      </w:r>
      <w:r>
        <w:rPr>
          <w:rFonts w:ascii="Times New Roman" w:hAnsi="Times New Roman" w:hint="eastAsia"/>
          <w:szCs w:val="32"/>
        </w:rPr>
        <w:t>加快布局医药商业保险服务、医药研发外包（</w:t>
      </w:r>
      <w:r>
        <w:rPr>
          <w:rFonts w:ascii="Times New Roman" w:hAnsi="Times New Roman" w:hint="eastAsia"/>
          <w:szCs w:val="32"/>
        </w:rPr>
        <w:t>CRO</w:t>
      </w:r>
      <w:r>
        <w:rPr>
          <w:rFonts w:ascii="Times New Roman" w:hAnsi="Times New Roman" w:hint="eastAsia"/>
          <w:szCs w:val="32"/>
        </w:rPr>
        <w:t>）、医药销售外包（</w:t>
      </w:r>
      <w:r>
        <w:rPr>
          <w:rFonts w:ascii="Times New Roman" w:hAnsi="Times New Roman" w:hint="eastAsia"/>
          <w:szCs w:val="32"/>
        </w:rPr>
        <w:t>CSO</w:t>
      </w:r>
      <w:r>
        <w:rPr>
          <w:rFonts w:ascii="Times New Roman" w:hAnsi="Times New Roman" w:hint="eastAsia"/>
          <w:szCs w:val="32"/>
        </w:rPr>
        <w:t>）等新兴业务方向。</w:t>
      </w:r>
    </w:p>
    <w:p w:rsidR="009D15C7" w:rsidRDefault="00AA49B3" w:rsidP="00D9014E">
      <w:pPr>
        <w:pStyle w:val="a3"/>
        <w:ind w:firstLineChars="200" w:firstLine="643"/>
        <w:jc w:val="both"/>
        <w:rPr>
          <w:rFonts w:ascii="Times New Roman" w:hAnsi="Times New Roman"/>
          <w:b/>
          <w:bCs/>
          <w:szCs w:val="32"/>
        </w:rPr>
      </w:pPr>
      <w:r>
        <w:rPr>
          <w:rFonts w:ascii="Times New Roman" w:hAnsi="Times New Roman" w:hint="eastAsia"/>
          <w:b/>
          <w:bCs/>
          <w:szCs w:val="32"/>
        </w:rPr>
        <w:t>加快高端医疗器械发展。加快高端医疗设备研发上市，</w:t>
      </w:r>
      <w:r>
        <w:rPr>
          <w:rFonts w:ascii="Times New Roman" w:hAnsi="Times New Roman" w:hint="eastAsia"/>
          <w:szCs w:val="32"/>
        </w:rPr>
        <w:t>培育</w:t>
      </w:r>
      <w:r>
        <w:rPr>
          <w:rFonts w:ascii="Times New Roman" w:hAnsi="Times New Roman" w:cstheme="minorBidi" w:hint="eastAsia"/>
          <w:szCs w:val="32"/>
        </w:rPr>
        <w:t>植（介）入器械、手术机器人、影像设备、</w:t>
      </w:r>
      <w:r>
        <w:rPr>
          <w:rFonts w:ascii="Times New Roman" w:hAnsi="Times New Roman" w:hint="eastAsia"/>
          <w:szCs w:val="32"/>
        </w:rPr>
        <w:t>康复机器人等创新产品，提升器械智能化水平和人机协同效率。</w:t>
      </w:r>
      <w:r>
        <w:rPr>
          <w:rFonts w:ascii="Times New Roman" w:hAnsi="Times New Roman" w:hint="eastAsia"/>
          <w:b/>
          <w:bCs/>
          <w:szCs w:val="32"/>
        </w:rPr>
        <w:t>布局脑机接口新兴赛道</w:t>
      </w:r>
      <w:r>
        <w:rPr>
          <w:rFonts w:ascii="Times New Roman" w:hAnsi="Times New Roman" w:hint="eastAsia"/>
          <w:szCs w:val="32"/>
        </w:rPr>
        <w:t>，开展脑电信号解码算法、类脑计算、采集芯片等技术研发，加快植入式脑机接口、神经调控设备在医疗康复场景的落地，培育健康监测、人机交互等非植入式消费级产品。</w:t>
      </w:r>
    </w:p>
    <w:p w:rsidR="009D15C7" w:rsidRDefault="00AA49B3" w:rsidP="00D9014E">
      <w:pPr>
        <w:ind w:firstLineChars="200" w:firstLine="643"/>
        <w:jc w:val="both"/>
        <w:rPr>
          <w:rFonts w:ascii="仿宋_GB2312" w:hAnsi="仿宋_GB2312"/>
          <w:szCs w:val="32"/>
        </w:rPr>
      </w:pPr>
      <w:r>
        <w:rPr>
          <w:rFonts w:ascii="Times New Roman" w:hAnsi="Times New Roman" w:hint="eastAsia"/>
          <w:b/>
          <w:bCs/>
          <w:szCs w:val="32"/>
        </w:rPr>
        <w:t>构建医疗健康服务新生态。优质化发展医疗服务，</w:t>
      </w:r>
      <w:r>
        <w:rPr>
          <w:rFonts w:ascii="Times New Roman" w:hAnsi="Times New Roman" w:hint="eastAsia"/>
          <w:szCs w:val="32"/>
        </w:rPr>
        <w:t>重点发展临床诊疗、慢病管理、健康监测、康复护理等服务，打造具有国际标准的医疗服务体系，推动医养结合、智慧养老等适老化模式落地。</w:t>
      </w:r>
      <w:r>
        <w:rPr>
          <w:rFonts w:ascii="Times New Roman" w:hAnsi="Times New Roman" w:hint="eastAsia"/>
          <w:b/>
          <w:bCs/>
          <w:szCs w:val="32"/>
        </w:rPr>
        <w:t>精细化发展健康管理，</w:t>
      </w:r>
      <w:r>
        <w:rPr>
          <w:rFonts w:ascii="Times New Roman" w:hAnsi="Times New Roman" w:hint="eastAsia"/>
          <w:szCs w:val="32"/>
        </w:rPr>
        <w:t>积极培育发展心理咨询、智能健身、中医药养生、轻医疗美容等健康管理服务，引育具备多语种、跨文化的健康管理能力的解决方案服</w:t>
      </w:r>
      <w:r>
        <w:rPr>
          <w:rFonts w:ascii="Times New Roman" w:hAnsi="Times New Roman" w:hint="eastAsia"/>
          <w:szCs w:val="32"/>
        </w:rPr>
        <w:lastRenderedPageBreak/>
        <w:t>务商</w:t>
      </w:r>
      <w:r>
        <w:rPr>
          <w:rFonts w:ascii="仿宋_GB2312" w:hAnsi="仿宋_GB2312"/>
          <w:szCs w:val="32"/>
        </w:rPr>
        <w:t>。</w:t>
      </w:r>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72" w:name="_Toc2404"/>
      <w:bookmarkStart w:id="73" w:name="_Toc6581"/>
      <w:bookmarkStart w:id="74" w:name="_Toc208142492"/>
      <w:bookmarkStart w:id="75" w:name="_Toc31992"/>
      <w:bookmarkStart w:id="76" w:name="_Toc208142489"/>
      <w:bookmarkEnd w:id="60"/>
      <w:bookmarkEnd w:id="61"/>
      <w:bookmarkEnd w:id="71"/>
      <w:r>
        <w:rPr>
          <w:rFonts w:ascii="Times New Roman" w:hAnsi="Times New Roman" w:cs="仿宋_GB2312" w:hint="eastAsia"/>
          <w:bCs/>
          <w:color w:val="auto"/>
          <w14:ligatures w14:val="none"/>
        </w:rPr>
        <w:t>4</w:t>
      </w:r>
      <w:r>
        <w:rPr>
          <w:rFonts w:ascii="Times New Roman" w:hAnsi="Times New Roman" w:cs="仿宋_GB2312" w:hint="eastAsia"/>
          <w:bCs/>
          <w:color w:val="auto"/>
          <w14:ligatures w14:val="none"/>
        </w:rPr>
        <w:t>、扩能提质专业服务业</w:t>
      </w:r>
      <w:bookmarkEnd w:id="72"/>
      <w:bookmarkEnd w:id="73"/>
    </w:p>
    <w:p w:rsidR="009D15C7" w:rsidRDefault="00AA49B3" w:rsidP="00D9014E">
      <w:pPr>
        <w:ind w:firstLineChars="200" w:firstLine="643"/>
        <w:jc w:val="both"/>
        <w:rPr>
          <w:rFonts w:ascii="Times New Roman" w:hAnsi="Times New Roman"/>
          <w:szCs w:val="32"/>
        </w:rPr>
      </w:pPr>
      <w:r>
        <w:rPr>
          <w:rFonts w:ascii="Times New Roman" w:hAnsi="Times New Roman" w:hint="eastAsia"/>
          <w:b/>
          <w:bCs/>
          <w:szCs w:val="32"/>
        </w:rPr>
        <w:t>大力发展数字广告服务新业态。</w:t>
      </w:r>
      <w:r>
        <w:rPr>
          <w:rFonts w:ascii="Times New Roman" w:hAnsi="Times New Roman" w:hint="eastAsia"/>
          <w:szCs w:val="32"/>
        </w:rPr>
        <w:t>做大做强</w:t>
      </w:r>
      <w:r>
        <w:rPr>
          <w:rFonts w:ascii="Times New Roman" w:hAnsi="Times New Roman" w:hint="eastAsia"/>
          <w:b/>
          <w:bCs/>
          <w:szCs w:val="32"/>
        </w:rPr>
        <w:t>广告内容创意与制作</w:t>
      </w:r>
      <w:r>
        <w:rPr>
          <w:rFonts w:ascii="Times New Roman" w:hAnsi="Times New Roman" w:hint="eastAsia"/>
          <w:szCs w:val="32"/>
        </w:rPr>
        <w:t>，促进</w:t>
      </w:r>
      <w:r>
        <w:rPr>
          <w:rFonts w:ascii="Times New Roman" w:hAnsi="Times New Roman" w:hint="eastAsia"/>
          <w:szCs w:val="32"/>
        </w:rPr>
        <w:t>AIGC</w:t>
      </w:r>
      <w:r>
        <w:rPr>
          <w:rFonts w:ascii="Times New Roman" w:hAnsi="Times New Roman" w:hint="eastAsia"/>
          <w:szCs w:val="32"/>
        </w:rPr>
        <w:t>、智能投放、沉浸式交互等新技术在广告领域的实践应用，吸引具有全球品牌营销服务能力、全球</w:t>
      </w:r>
      <w:r>
        <w:rPr>
          <w:rFonts w:ascii="Times New Roman" w:hAnsi="Times New Roman" w:hint="eastAsia"/>
          <w:szCs w:val="32"/>
        </w:rPr>
        <w:t>MCN</w:t>
      </w:r>
      <w:r>
        <w:rPr>
          <w:rFonts w:ascii="Times New Roman" w:hAnsi="Times New Roman" w:hint="eastAsia"/>
          <w:szCs w:val="32"/>
        </w:rPr>
        <w:t>网络和主流媒体一级代理资质的领先出海营销企业，推动全链路短视频营销等数字营销方式转型升级。拓展地标广告、灯光秀广告、</w:t>
      </w:r>
      <w:r>
        <w:rPr>
          <w:rFonts w:ascii="Times New Roman" w:hAnsi="Times New Roman" w:hint="eastAsia"/>
          <w:szCs w:val="32"/>
        </w:rPr>
        <w:t>XR</w:t>
      </w:r>
      <w:r>
        <w:rPr>
          <w:rFonts w:ascii="Times New Roman" w:hAnsi="Times New Roman" w:hint="eastAsia"/>
          <w:szCs w:val="32"/>
        </w:rPr>
        <w:t>广告等低空经济领域的户外广告业务，打造一批</w:t>
      </w:r>
      <w:r>
        <w:rPr>
          <w:rFonts w:ascii="Times New Roman" w:hAnsi="Times New Roman" w:hint="eastAsia"/>
          <w:b/>
          <w:bCs/>
          <w:szCs w:val="32"/>
        </w:rPr>
        <w:t>数字化户外广告</w:t>
      </w:r>
      <w:r>
        <w:rPr>
          <w:rFonts w:ascii="Times New Roman" w:hAnsi="Times New Roman" w:hint="eastAsia"/>
          <w:szCs w:val="32"/>
        </w:rPr>
        <w:t>设施。</w:t>
      </w:r>
    </w:p>
    <w:p w:rsidR="009D15C7" w:rsidRDefault="00AA49B3" w:rsidP="00D9014E">
      <w:pPr>
        <w:ind w:firstLineChars="200" w:firstLine="643"/>
        <w:jc w:val="both"/>
        <w:rPr>
          <w:rFonts w:ascii="Times New Roman" w:hAnsi="Times New Roman"/>
          <w:szCs w:val="32"/>
        </w:rPr>
      </w:pPr>
      <w:r>
        <w:rPr>
          <w:rFonts w:ascii="Times New Roman" w:hAnsi="Times New Roman" w:hint="eastAsia"/>
          <w:b/>
          <w:bCs/>
          <w:szCs w:val="32"/>
        </w:rPr>
        <w:t>推动咨询调查业全面升级。</w:t>
      </w:r>
      <w:r>
        <w:rPr>
          <w:rFonts w:ascii="Times New Roman" w:hAnsi="Times New Roman" w:hint="eastAsia"/>
          <w:szCs w:val="32"/>
        </w:rPr>
        <w:t>大力发展社会经济咨询、市场调查、战略咨询、管理咨询等</w:t>
      </w:r>
      <w:r>
        <w:rPr>
          <w:rFonts w:ascii="Times New Roman" w:hAnsi="Times New Roman" w:hint="eastAsia"/>
          <w:b/>
          <w:bCs/>
          <w:szCs w:val="32"/>
        </w:rPr>
        <w:t>传统咨询服务</w:t>
      </w:r>
      <w:r>
        <w:rPr>
          <w:rFonts w:ascii="Times New Roman" w:hAnsi="Times New Roman" w:hint="eastAsia"/>
          <w:szCs w:val="32"/>
        </w:rPr>
        <w:t>，积极布局健康咨询、环保咨询，以及环境、社会与治理（</w:t>
      </w:r>
      <w:r>
        <w:rPr>
          <w:rFonts w:ascii="Times New Roman" w:hAnsi="Times New Roman" w:hint="eastAsia"/>
          <w:szCs w:val="32"/>
        </w:rPr>
        <w:t>ESG</w:t>
      </w:r>
      <w:r>
        <w:rPr>
          <w:rFonts w:ascii="Times New Roman" w:hAnsi="Times New Roman" w:hint="eastAsia"/>
          <w:szCs w:val="32"/>
        </w:rPr>
        <w:t>）评价等</w:t>
      </w:r>
      <w:r>
        <w:rPr>
          <w:rFonts w:ascii="Times New Roman" w:hAnsi="Times New Roman" w:hint="eastAsia"/>
          <w:b/>
          <w:bCs/>
          <w:szCs w:val="32"/>
        </w:rPr>
        <w:t>咨询新赛道</w:t>
      </w:r>
      <w:r>
        <w:rPr>
          <w:rFonts w:ascii="Times New Roman" w:hAnsi="Times New Roman" w:hint="eastAsia"/>
          <w:szCs w:val="32"/>
        </w:rPr>
        <w:t>。</w:t>
      </w:r>
      <w:r>
        <w:rPr>
          <w:rFonts w:ascii="Times New Roman" w:hAnsi="Times New Roman" w:hint="eastAsia"/>
          <w:b/>
          <w:bCs/>
          <w:szCs w:val="32"/>
        </w:rPr>
        <w:t>拓展国际化咨询业务，</w:t>
      </w:r>
      <w:r>
        <w:rPr>
          <w:rFonts w:ascii="Times New Roman" w:hAnsi="Times New Roman" w:hint="eastAsia"/>
          <w:szCs w:val="32"/>
        </w:rPr>
        <w:t>提供海外市场研究、跨境运营、跨国并购等专业服务。</w:t>
      </w:r>
      <w:r>
        <w:rPr>
          <w:rFonts w:ascii="Times New Roman" w:hAnsi="Times New Roman" w:hint="eastAsia"/>
          <w:b/>
          <w:bCs/>
          <w:szCs w:val="32"/>
        </w:rPr>
        <w:t>提升会计审计服务能级，</w:t>
      </w:r>
      <w:r>
        <w:rPr>
          <w:rFonts w:ascii="Times New Roman" w:hAnsi="Times New Roman" w:hint="eastAsia"/>
          <w:szCs w:val="32"/>
        </w:rPr>
        <w:t>探索新兴经济模式下的审计服务方式和技术，鼓励机构积极加入国际会计网络，拓展海外服务布局。</w:t>
      </w:r>
    </w:p>
    <w:p w:rsidR="009D15C7" w:rsidRDefault="00AA49B3" w:rsidP="00D9014E">
      <w:pPr>
        <w:ind w:firstLineChars="200" w:firstLine="643"/>
        <w:jc w:val="both"/>
        <w:rPr>
          <w:rFonts w:ascii="Times New Roman" w:hAnsi="Times New Roman"/>
          <w:b/>
          <w:bCs/>
          <w:szCs w:val="32"/>
        </w:rPr>
      </w:pPr>
      <w:r>
        <w:rPr>
          <w:rFonts w:ascii="Times New Roman" w:hAnsi="Times New Roman" w:hint="eastAsia"/>
          <w:b/>
          <w:bCs/>
          <w:szCs w:val="32"/>
        </w:rPr>
        <w:t>提高人力资源服务质效。</w:t>
      </w:r>
      <w:r>
        <w:rPr>
          <w:rFonts w:ascii="Times New Roman" w:hAnsi="Times New Roman" w:hint="eastAsia"/>
          <w:szCs w:val="32"/>
        </w:rPr>
        <w:t>做大做强岗位招聘、人才培训，以及薪酬、福利外包等</w:t>
      </w:r>
      <w:r>
        <w:rPr>
          <w:rFonts w:ascii="Times New Roman" w:hAnsi="Times New Roman" w:hint="eastAsia"/>
          <w:b/>
          <w:bCs/>
          <w:szCs w:val="32"/>
        </w:rPr>
        <w:t>人力资源外包服务</w:t>
      </w:r>
      <w:r>
        <w:rPr>
          <w:rFonts w:ascii="Times New Roman" w:hAnsi="Times New Roman" w:hint="eastAsia"/>
          <w:szCs w:val="32"/>
        </w:rPr>
        <w:t>。支持人力资源服务商做大通用型岗位灵活用工业务，拓展技术型</w:t>
      </w:r>
      <w:r>
        <w:rPr>
          <w:rFonts w:ascii="Times New Roman" w:hAnsi="Times New Roman" w:hint="eastAsia"/>
          <w:b/>
          <w:bCs/>
          <w:szCs w:val="32"/>
        </w:rPr>
        <w:t>灵活用工服务，</w:t>
      </w:r>
      <w:r>
        <w:rPr>
          <w:rFonts w:ascii="Times New Roman" w:hAnsi="Times New Roman" w:hint="eastAsia"/>
          <w:szCs w:val="32"/>
        </w:rPr>
        <w:t>提供咨询、搜寻、甄选、评估、推荐等</w:t>
      </w:r>
      <w:r>
        <w:rPr>
          <w:rFonts w:ascii="Times New Roman" w:hAnsi="Times New Roman" w:hint="eastAsia"/>
          <w:b/>
          <w:bCs/>
          <w:szCs w:val="32"/>
        </w:rPr>
        <w:t>高级人才寻访服务</w:t>
      </w:r>
      <w:r>
        <w:rPr>
          <w:rFonts w:ascii="Times New Roman" w:hAnsi="Times New Roman" w:hint="eastAsia"/>
          <w:szCs w:val="32"/>
        </w:rPr>
        <w:t>。支持人力资源服务机构提供覆盖国际化组织建设、国际化薪酬设定、海外</w:t>
      </w:r>
      <w:r>
        <w:rPr>
          <w:rFonts w:ascii="Times New Roman" w:hAnsi="Times New Roman" w:hint="eastAsia"/>
          <w:szCs w:val="32"/>
        </w:rPr>
        <w:t>HR</w:t>
      </w:r>
      <w:r>
        <w:rPr>
          <w:rFonts w:ascii="Times New Roman" w:hAnsi="Times New Roman" w:hint="eastAsia"/>
          <w:szCs w:val="32"/>
        </w:rPr>
        <w:t>合规风险咨询、全球</w:t>
      </w:r>
      <w:r>
        <w:rPr>
          <w:rFonts w:ascii="Times New Roman" w:hAnsi="Times New Roman" w:hint="eastAsia"/>
          <w:szCs w:val="32"/>
        </w:rPr>
        <w:t>HR</w:t>
      </w:r>
      <w:r>
        <w:rPr>
          <w:rFonts w:ascii="Times New Roman" w:hAnsi="Times New Roman" w:hint="eastAsia"/>
          <w:szCs w:val="32"/>
        </w:rPr>
        <w:t>共享服务中心建设等出海</w:t>
      </w:r>
      <w:r>
        <w:rPr>
          <w:rFonts w:ascii="Times New Roman" w:hAnsi="Times New Roman" w:hint="eastAsia"/>
          <w:b/>
          <w:bCs/>
          <w:szCs w:val="32"/>
        </w:rPr>
        <w:t>咨询服务。</w:t>
      </w:r>
    </w:p>
    <w:p w:rsidR="009D15C7" w:rsidRDefault="00AA49B3" w:rsidP="00D9014E">
      <w:pPr>
        <w:ind w:firstLineChars="200" w:firstLine="643"/>
        <w:jc w:val="both"/>
        <w:rPr>
          <w:rFonts w:ascii="Times New Roman" w:hAnsi="Times New Roman"/>
          <w:szCs w:val="32"/>
        </w:rPr>
      </w:pPr>
      <w:r>
        <w:rPr>
          <w:rFonts w:ascii="Times New Roman" w:hAnsi="Times New Roman" w:hint="eastAsia"/>
          <w:b/>
          <w:bCs/>
          <w:szCs w:val="32"/>
        </w:rPr>
        <w:lastRenderedPageBreak/>
        <w:t>打造一流法律服务高地。</w:t>
      </w:r>
      <w:r>
        <w:rPr>
          <w:rFonts w:ascii="Times New Roman" w:hAnsi="Times New Roman" w:hint="eastAsia"/>
          <w:szCs w:val="32"/>
        </w:rPr>
        <w:t>支持律所围绕金融、制造、航空运输、远洋运输等重点领域，做强知识产权、财产纠纷等</w:t>
      </w:r>
      <w:r>
        <w:rPr>
          <w:rFonts w:ascii="Times New Roman" w:hAnsi="Times New Roman" w:hint="eastAsia"/>
          <w:b/>
          <w:bCs/>
          <w:szCs w:val="32"/>
        </w:rPr>
        <w:t>民商事诉讼业务</w:t>
      </w:r>
      <w:r>
        <w:rPr>
          <w:rFonts w:ascii="Times New Roman" w:hAnsi="Times New Roman" w:hint="eastAsia"/>
          <w:szCs w:val="32"/>
        </w:rPr>
        <w:t>。丰富法律咨询、知识产权调解、劳动纠纷、投资与金融借贷纠纷、资产规划等</w:t>
      </w:r>
      <w:r>
        <w:rPr>
          <w:rFonts w:ascii="Times New Roman" w:hAnsi="Times New Roman" w:hint="eastAsia"/>
          <w:b/>
          <w:bCs/>
          <w:szCs w:val="32"/>
        </w:rPr>
        <w:t>非诉服务</w:t>
      </w:r>
      <w:r>
        <w:rPr>
          <w:rFonts w:ascii="Times New Roman" w:hAnsi="Times New Roman" w:hint="eastAsia"/>
          <w:szCs w:val="32"/>
        </w:rPr>
        <w:t>。加快集聚外资及联营律所，提供涵盖跨境风险评估、国际贸易谈判、法律文件起草、对外直接投资、跨境并购等</w:t>
      </w:r>
      <w:r>
        <w:rPr>
          <w:rFonts w:ascii="Times New Roman" w:hAnsi="Times New Roman" w:hint="eastAsia"/>
          <w:b/>
          <w:bCs/>
          <w:szCs w:val="32"/>
        </w:rPr>
        <w:t>涉外商事法律服务</w:t>
      </w:r>
      <w:r>
        <w:rPr>
          <w:rFonts w:ascii="Times New Roman" w:hAnsi="Times New Roman" w:hint="eastAsia"/>
          <w:szCs w:val="32"/>
        </w:rPr>
        <w:t>。</w:t>
      </w:r>
    </w:p>
    <w:p w:rsidR="009D15C7" w:rsidRDefault="00AA49B3" w:rsidP="00D9014E">
      <w:pPr>
        <w:ind w:firstLineChars="200" w:firstLine="643"/>
        <w:jc w:val="both"/>
        <w:rPr>
          <w:rFonts w:ascii="Times New Roman" w:hAnsi="Times New Roman"/>
          <w:szCs w:val="32"/>
        </w:rPr>
      </w:pPr>
      <w:r>
        <w:rPr>
          <w:rFonts w:ascii="Times New Roman" w:hAnsi="Times New Roman" w:hint="eastAsia"/>
          <w:b/>
          <w:bCs/>
          <w:szCs w:val="32"/>
        </w:rPr>
        <w:t>增强科技服务动能。</w:t>
      </w:r>
      <w:r>
        <w:rPr>
          <w:rFonts w:ascii="Times New Roman" w:hAnsi="Times New Roman" w:hint="eastAsia"/>
          <w:szCs w:val="32"/>
        </w:rPr>
        <w:t>支持</w:t>
      </w:r>
      <w:r>
        <w:rPr>
          <w:rFonts w:ascii="Times New Roman" w:hAnsi="Times New Roman" w:hint="eastAsia"/>
          <w:szCs w:val="32"/>
        </w:rPr>
        <w:t>AI</w:t>
      </w:r>
      <w:r>
        <w:rPr>
          <w:rFonts w:ascii="Times New Roman" w:hAnsi="Times New Roman" w:hint="eastAsia"/>
          <w:szCs w:val="32"/>
        </w:rPr>
        <w:t>芯片、车规级芯片、具身智能、基因编辑等领域</w:t>
      </w:r>
      <w:r>
        <w:rPr>
          <w:rFonts w:ascii="Times New Roman" w:hAnsi="Times New Roman" w:hint="eastAsia"/>
          <w:b/>
          <w:bCs/>
          <w:szCs w:val="32"/>
        </w:rPr>
        <w:t>检验检测</w:t>
      </w:r>
      <w:r>
        <w:rPr>
          <w:rFonts w:ascii="Times New Roman" w:hAnsi="Times New Roman" w:hint="eastAsia"/>
          <w:szCs w:val="32"/>
        </w:rPr>
        <w:t>技术研发，布局大模型、智能体等测评能力。加强商标、专利、软件著作权、商业秘密等能力建设，提升跨境服务、侵权监测、证据收集、法律诉讼等</w:t>
      </w:r>
      <w:r>
        <w:rPr>
          <w:rFonts w:ascii="Times New Roman" w:hAnsi="Times New Roman" w:hint="eastAsia"/>
          <w:b/>
          <w:bCs/>
          <w:szCs w:val="32"/>
        </w:rPr>
        <w:t>知识产权保护服务</w:t>
      </w:r>
      <w:r>
        <w:rPr>
          <w:rFonts w:ascii="Times New Roman" w:hAnsi="Times New Roman" w:hint="eastAsia"/>
          <w:szCs w:val="32"/>
        </w:rPr>
        <w:t>能力。深耕新材料、新能源、</w:t>
      </w:r>
      <w:r>
        <w:rPr>
          <w:rFonts w:ascii="Times New Roman" w:hAnsi="Times New Roman" w:hint="eastAsia"/>
          <w:szCs w:val="32"/>
        </w:rPr>
        <w:t>3D</w:t>
      </w:r>
      <w:r>
        <w:rPr>
          <w:rFonts w:ascii="Times New Roman" w:hAnsi="Times New Roman" w:hint="eastAsia"/>
          <w:szCs w:val="32"/>
        </w:rPr>
        <w:t>打印等领域</w:t>
      </w:r>
      <w:r>
        <w:rPr>
          <w:rFonts w:ascii="Times New Roman" w:hAnsi="Times New Roman" w:hint="eastAsia"/>
          <w:b/>
          <w:bCs/>
          <w:szCs w:val="32"/>
        </w:rPr>
        <w:t>工程设计服务</w:t>
      </w:r>
      <w:r>
        <w:rPr>
          <w:rFonts w:ascii="Times New Roman" w:hAnsi="Times New Roman" w:hint="eastAsia"/>
          <w:szCs w:val="32"/>
        </w:rPr>
        <w:t>，拓展能源电力领域数字化设计服务和施工图智能化审查服务，加大近零能耗设计技术研发投入。</w:t>
      </w:r>
      <w:bookmarkStart w:id="77" w:name="_Toc14908"/>
      <w:bookmarkStart w:id="78" w:name="_Toc15279"/>
      <w:bookmarkEnd w:id="74"/>
      <w:bookmarkEnd w:id="75"/>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79" w:name="_Toc20527"/>
      <w:r>
        <w:rPr>
          <w:rFonts w:ascii="Times New Roman" w:hAnsi="Times New Roman" w:cs="仿宋_GB2312" w:hint="eastAsia"/>
          <w:bCs/>
          <w:color w:val="auto"/>
          <w14:ligatures w14:val="none"/>
        </w:rPr>
        <w:t>5</w:t>
      </w:r>
      <w:r>
        <w:rPr>
          <w:rFonts w:ascii="Times New Roman" w:hAnsi="Times New Roman" w:cs="仿宋_GB2312" w:hint="eastAsia"/>
          <w:bCs/>
          <w:color w:val="auto"/>
          <w14:ligatures w14:val="none"/>
        </w:rPr>
        <w:t>、加速壮大科创金融</w:t>
      </w:r>
      <w:bookmarkEnd w:id="76"/>
      <w:bookmarkEnd w:id="77"/>
      <w:bookmarkEnd w:id="78"/>
      <w:r>
        <w:rPr>
          <w:rFonts w:ascii="Times New Roman" w:hAnsi="Times New Roman" w:cs="仿宋_GB2312" w:hint="eastAsia"/>
          <w:bCs/>
          <w:color w:val="auto"/>
          <w14:ligatures w14:val="none"/>
        </w:rPr>
        <w:t>业</w:t>
      </w:r>
      <w:bookmarkEnd w:id="79"/>
    </w:p>
    <w:p w:rsidR="009D15C7" w:rsidRDefault="00AA49B3" w:rsidP="00D9014E">
      <w:pPr>
        <w:spacing w:line="600" w:lineRule="exact"/>
        <w:ind w:firstLineChars="200" w:firstLine="643"/>
        <w:rPr>
          <w:rFonts w:ascii="仿宋_GB2312" w:hAnsi="Times New Roman" w:cs="Times New Roman"/>
          <w:szCs w:val="32"/>
        </w:rPr>
      </w:pPr>
      <w:bookmarkStart w:id="80" w:name="_Hlk202887343"/>
      <w:r>
        <w:rPr>
          <w:rFonts w:ascii="仿宋_GB2312" w:hAnsi="Times New Roman" w:cs="Times New Roman" w:hint="eastAsia"/>
          <w:b/>
          <w:szCs w:val="32"/>
        </w:rPr>
        <w:t>做优做强“一岸一街”。</w:t>
      </w:r>
      <w:r>
        <w:rPr>
          <w:rFonts w:ascii="仿宋_GB2312" w:hAnsi="Times New Roman" w:cs="Times New Roman" w:hint="eastAsia"/>
          <w:szCs w:val="32"/>
        </w:rPr>
        <w:t>全力打造以西岸中環为核心，集高端商业、金融、科创、文化生活于一体的活力金融中心，</w:t>
      </w:r>
      <w:r>
        <w:rPr>
          <w:rFonts w:ascii="仿宋_GB2312" w:hAnsi="Calibri" w:cs="Times New Roman" w:hint="eastAsia"/>
          <w:szCs w:val="32"/>
        </w:rPr>
        <w:t>引进聚焦投资科创企业的股权投资机构，</w:t>
      </w:r>
      <w:r>
        <w:rPr>
          <w:rFonts w:ascii="仿宋_GB2312" w:hAnsi="Times New Roman" w:cs="Times New Roman" w:hint="eastAsia"/>
          <w:szCs w:val="32"/>
        </w:rPr>
        <w:t>构建全球资本与科创交汇的协作平台。依托海派文化和高品质老洋房资源，将衡复金融街打造成为私募投资机构集聚区。</w:t>
      </w:r>
    </w:p>
    <w:p w:rsidR="009D15C7" w:rsidRDefault="00AA49B3" w:rsidP="00D9014E">
      <w:pPr>
        <w:spacing w:line="600" w:lineRule="exact"/>
        <w:ind w:firstLineChars="200" w:firstLine="643"/>
        <w:rPr>
          <w:rFonts w:ascii="Times New Roman" w:hAnsi="Times New Roman"/>
          <w:szCs w:val="32"/>
        </w:rPr>
      </w:pPr>
      <w:r>
        <w:rPr>
          <w:rFonts w:ascii="仿宋_GB2312" w:hAnsi="Times New Roman" w:cs="Times New Roman" w:hint="eastAsia"/>
          <w:b/>
          <w:szCs w:val="32"/>
        </w:rPr>
        <w:t>加大金融资本赋能重点产业力度。</w:t>
      </w:r>
      <w:r>
        <w:rPr>
          <w:rFonts w:ascii="仿宋_GB2312" w:hAnsi="Times New Roman" w:cs="Times New Roman" w:hint="eastAsia"/>
          <w:szCs w:val="32"/>
        </w:rPr>
        <w:t>做实做深“徐汇资本”国有投资平台。充分发挥国有资本引导带动作用，推动资本向区域重点产业集聚。</w:t>
      </w:r>
      <w:r>
        <w:rPr>
          <w:rFonts w:ascii="仿宋_GB2312" w:hAnsi="Calibri" w:cs="Times New Roman" w:hint="eastAsia"/>
          <w:szCs w:val="32"/>
        </w:rPr>
        <w:t>鼓励银行、证券、股权投资等金融机构加强与企业间的信息共享与场景对接，提升金融产品对数</w:t>
      </w:r>
      <w:r>
        <w:rPr>
          <w:rFonts w:ascii="仿宋_GB2312" w:hAnsi="Calibri" w:cs="Times New Roman" w:hint="eastAsia"/>
          <w:szCs w:val="32"/>
        </w:rPr>
        <w:lastRenderedPageBreak/>
        <w:t>字技术应用场景的贴合度。</w:t>
      </w:r>
    </w:p>
    <w:p w:rsidR="009D15C7" w:rsidRDefault="00AA49B3" w:rsidP="00D9014E">
      <w:pPr>
        <w:spacing w:line="600" w:lineRule="exact"/>
        <w:ind w:firstLineChars="200" w:firstLine="643"/>
        <w:rPr>
          <w:rFonts w:ascii="仿宋_GB2312" w:hAnsi="Times New Roman" w:cs="Times New Roman"/>
          <w:szCs w:val="32"/>
        </w:rPr>
      </w:pPr>
      <w:r>
        <w:rPr>
          <w:rFonts w:ascii="仿宋_GB2312" w:hAnsi="Times New Roman" w:cs="Times New Roman" w:hint="eastAsia"/>
          <w:b/>
          <w:szCs w:val="32"/>
        </w:rPr>
        <w:t>完善普惠金融体系</w:t>
      </w:r>
      <w:r>
        <w:rPr>
          <w:rFonts w:ascii="仿宋_GB2312" w:hAnsi="Times New Roman" w:cs="Times New Roman" w:hint="eastAsia"/>
          <w:szCs w:val="32"/>
        </w:rPr>
        <w:t>。以体系建设为基础，推动金融机构产品创新，扩面、增量、降本、增效，构建覆盖广、效率高、服务优、风险可控的普惠金融体系，助力区域实体经济高质量发展。</w:t>
      </w:r>
    </w:p>
    <w:p w:rsidR="009D15C7" w:rsidRDefault="00AA49B3">
      <w:pPr>
        <w:pStyle w:val="2"/>
      </w:pPr>
      <w:bookmarkStart w:id="81" w:name="_Toc208142494"/>
      <w:bookmarkStart w:id="82" w:name="_Toc1031"/>
      <w:bookmarkStart w:id="83" w:name="_Toc3449"/>
      <w:bookmarkStart w:id="84" w:name="_Toc3659"/>
      <w:bookmarkEnd w:id="62"/>
      <w:bookmarkEnd w:id="80"/>
      <w:r>
        <w:rPr>
          <w:rFonts w:hint="eastAsia"/>
        </w:rPr>
        <w:t>（三）前瞻布局</w:t>
      </w:r>
      <w:r>
        <w:rPr>
          <w:rFonts w:hint="eastAsia"/>
        </w:rPr>
        <w:t>X</w:t>
      </w:r>
      <w:r>
        <w:rPr>
          <w:rFonts w:hint="eastAsia"/>
        </w:rPr>
        <w:t>个未来产业，打造前沿产业先导区</w:t>
      </w:r>
      <w:bookmarkEnd w:id="81"/>
      <w:bookmarkEnd w:id="82"/>
      <w:bookmarkEnd w:id="83"/>
      <w:bookmarkEnd w:id="84"/>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85" w:name="_Toc208142493"/>
      <w:bookmarkStart w:id="86" w:name="_Toc28560"/>
      <w:bookmarkStart w:id="87" w:name="_Toc14989"/>
      <w:bookmarkStart w:id="88" w:name="_Toc25616"/>
      <w:bookmarkStart w:id="89" w:name="_Hlk202641459"/>
      <w:bookmarkStart w:id="90" w:name="_Toc208142495"/>
      <w:r>
        <w:rPr>
          <w:rFonts w:ascii="Times New Roman" w:hAnsi="Times New Roman" w:cs="仿宋_GB2312" w:hint="eastAsia"/>
          <w:bCs/>
          <w:color w:val="auto"/>
          <w14:ligatures w14:val="none"/>
        </w:rPr>
        <w:t>1</w:t>
      </w:r>
      <w:r>
        <w:rPr>
          <w:rFonts w:ascii="Times New Roman" w:hAnsi="Times New Roman" w:cs="仿宋_GB2312" w:hint="eastAsia"/>
          <w:bCs/>
          <w:color w:val="auto"/>
          <w14:ligatures w14:val="none"/>
        </w:rPr>
        <w:t>、焕新未来制造</w:t>
      </w:r>
      <w:bookmarkEnd w:id="85"/>
      <w:r>
        <w:rPr>
          <w:rFonts w:ascii="Times New Roman" w:hAnsi="Times New Roman" w:cs="仿宋_GB2312" w:hint="eastAsia"/>
          <w:bCs/>
          <w:color w:val="auto"/>
          <w14:ligatures w14:val="none"/>
        </w:rPr>
        <w:t>产业活力</w:t>
      </w:r>
      <w:bookmarkEnd w:id="86"/>
      <w:bookmarkEnd w:id="87"/>
      <w:bookmarkEnd w:id="88"/>
    </w:p>
    <w:p w:rsidR="009D15C7" w:rsidRDefault="00AA49B3" w:rsidP="00D9014E">
      <w:pPr>
        <w:widowControl/>
        <w:ind w:firstLineChars="200" w:firstLine="643"/>
        <w:rPr>
          <w:rFonts w:ascii="Times New Roman" w:hAnsi="Times New Roman" w:cs="Cambria Math"/>
          <w:bCs/>
          <w:szCs w:val="32"/>
        </w:rPr>
      </w:pPr>
      <w:r>
        <w:rPr>
          <w:rFonts w:ascii="Times New Roman" w:hAnsi="Times New Roman" w:hint="eastAsia"/>
          <w:b/>
          <w:bCs/>
          <w:szCs w:val="32"/>
        </w:rPr>
        <w:t>创新研发前沿制造新产品，</w:t>
      </w:r>
      <w:r>
        <w:rPr>
          <w:rFonts w:ascii="Times New Roman" w:hAnsi="Times New Roman" w:hint="eastAsia"/>
          <w:szCs w:val="32"/>
        </w:rPr>
        <w:t>适度布局星载智能终端、太空在轨制造核心部件等前沿产品，推动原型样机研发，加速技术成果工程化落地。</w:t>
      </w:r>
      <w:r>
        <w:rPr>
          <w:rFonts w:ascii="Times New Roman" w:hAnsi="Times New Roman" w:hint="eastAsia"/>
          <w:b/>
          <w:bCs/>
          <w:szCs w:val="32"/>
        </w:rPr>
        <w:t>做强</w:t>
      </w:r>
      <w:r>
        <w:rPr>
          <w:rFonts w:ascii="Times New Roman" w:hAnsi="Times New Roman" w:cs="Cambria Math" w:hint="eastAsia"/>
          <w:b/>
          <w:bCs/>
          <w:szCs w:val="32"/>
        </w:rPr>
        <w:t>高端仪器仪表、激光制造产业链，</w:t>
      </w:r>
      <w:r>
        <w:rPr>
          <w:rFonts w:ascii="Times New Roman" w:hAnsi="Times New Roman" w:cs="Cambria Math" w:hint="eastAsia"/>
          <w:szCs w:val="32"/>
        </w:rPr>
        <w:t>加快高稳定传感器、精密光学器件、高灵敏度探测仪等关键部件产业化，推动高端测量仪器、精密控制设备</w:t>
      </w:r>
      <w:r>
        <w:rPr>
          <w:rFonts w:ascii="Times New Roman" w:hAnsi="Times New Roman" w:cs="Cambria Math"/>
          <w:szCs w:val="32"/>
        </w:rPr>
        <w:t>在</w:t>
      </w:r>
      <w:r>
        <w:rPr>
          <w:rFonts w:ascii="Times New Roman" w:hAnsi="Times New Roman" w:cs="Cambria Math" w:hint="eastAsia"/>
          <w:szCs w:val="32"/>
        </w:rPr>
        <w:t>智能</w:t>
      </w:r>
      <w:r>
        <w:rPr>
          <w:rFonts w:ascii="Times New Roman" w:hAnsi="Times New Roman" w:cs="Cambria Math"/>
          <w:szCs w:val="32"/>
        </w:rPr>
        <w:t>制造、航空航天</w:t>
      </w:r>
      <w:r>
        <w:rPr>
          <w:rFonts w:ascii="Times New Roman" w:hAnsi="Times New Roman" w:cs="Cambria Math" w:hint="eastAsia"/>
          <w:szCs w:val="32"/>
        </w:rPr>
        <w:t>、</w:t>
      </w:r>
      <w:r>
        <w:rPr>
          <w:rFonts w:ascii="Times New Roman" w:hAnsi="Times New Roman" w:cs="Cambria Math"/>
          <w:szCs w:val="32"/>
        </w:rPr>
        <w:t>医疗手术机器人等场景</w:t>
      </w:r>
      <w:r>
        <w:rPr>
          <w:rFonts w:ascii="Times New Roman" w:hAnsi="Times New Roman" w:cs="Cambria Math" w:hint="eastAsia"/>
          <w:szCs w:val="32"/>
        </w:rPr>
        <w:t>应用。</w:t>
      </w:r>
      <w:r>
        <w:rPr>
          <w:rFonts w:ascii="Times New Roman" w:hAnsi="Times New Roman" w:cs="Cambria Math" w:hint="eastAsia"/>
          <w:b/>
          <w:bCs/>
          <w:szCs w:val="32"/>
        </w:rPr>
        <w:t>提升服务型制造能级，</w:t>
      </w:r>
      <w:r>
        <w:rPr>
          <w:rFonts w:ascii="Times New Roman" w:hAnsi="Times New Roman" w:cs="Cambria Math" w:hint="eastAsia"/>
          <w:szCs w:val="32"/>
        </w:rPr>
        <w:t>推动基础与工业软件在研发设计、物理仿真、生产控制等环节应用，推广柔性、共享、绿色低碳制造模式，培育工业互联网、工业元宇宙产业新生态。</w:t>
      </w:r>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91" w:name="_Toc208142496"/>
      <w:bookmarkStart w:id="92" w:name="_Toc10539"/>
      <w:bookmarkStart w:id="93" w:name="_Toc10904"/>
      <w:bookmarkStart w:id="94" w:name="_Toc8312"/>
      <w:r>
        <w:rPr>
          <w:rFonts w:ascii="Times New Roman" w:hAnsi="Times New Roman" w:cs="仿宋_GB2312" w:hint="eastAsia"/>
          <w:bCs/>
          <w:color w:val="auto"/>
          <w14:ligatures w14:val="none"/>
        </w:rPr>
        <w:t>2</w:t>
      </w:r>
      <w:r>
        <w:rPr>
          <w:rFonts w:ascii="Times New Roman" w:hAnsi="Times New Roman" w:cs="仿宋_GB2312" w:hint="eastAsia"/>
          <w:bCs/>
          <w:color w:val="auto"/>
          <w14:ligatures w14:val="none"/>
        </w:rPr>
        <w:t>、</w:t>
      </w:r>
      <w:bookmarkEnd w:id="91"/>
      <w:r>
        <w:rPr>
          <w:rFonts w:ascii="Times New Roman" w:hAnsi="Times New Roman" w:cs="仿宋_GB2312" w:hint="eastAsia"/>
          <w:bCs/>
          <w:color w:val="auto"/>
          <w14:ligatures w14:val="none"/>
        </w:rPr>
        <w:t>探索区块链产业新赛道</w:t>
      </w:r>
      <w:bookmarkEnd w:id="92"/>
      <w:bookmarkEnd w:id="93"/>
      <w:bookmarkEnd w:id="94"/>
    </w:p>
    <w:p w:rsidR="009D15C7" w:rsidRDefault="00AA49B3" w:rsidP="00D9014E">
      <w:pPr>
        <w:widowControl/>
        <w:ind w:firstLineChars="200" w:firstLine="643"/>
        <w:jc w:val="both"/>
        <w:rPr>
          <w:rFonts w:ascii="Times New Roman" w:hAnsi="Times New Roman"/>
          <w:szCs w:val="32"/>
        </w:rPr>
      </w:pPr>
      <w:r>
        <w:rPr>
          <w:rFonts w:ascii="Times New Roman" w:hAnsi="Times New Roman" w:hint="eastAsia"/>
          <w:b/>
          <w:bCs/>
          <w:szCs w:val="32"/>
        </w:rPr>
        <w:t>强化区块链核心技术能力提升，</w:t>
      </w:r>
      <w:r>
        <w:rPr>
          <w:rFonts w:ascii="Times New Roman" w:hAnsi="Times New Roman" w:hint="eastAsia"/>
          <w:szCs w:val="32"/>
        </w:rPr>
        <w:t>推动</w:t>
      </w:r>
      <w:r>
        <w:rPr>
          <w:rFonts w:ascii="Times New Roman" w:hAnsi="Times New Roman" w:hint="eastAsia"/>
          <w:szCs w:val="32"/>
        </w:rPr>
        <w:t>web3.0</w:t>
      </w:r>
      <w:r>
        <w:rPr>
          <w:rFonts w:ascii="Times New Roman" w:hAnsi="Times New Roman" w:hint="eastAsia"/>
          <w:szCs w:val="32"/>
        </w:rPr>
        <w:t>底层开源操作系统研发，聚焦核心引擎、跨链互操作、隐私计算、共识机制等核心技术引育一批优质企业，打造</w:t>
      </w:r>
      <w:r>
        <w:rPr>
          <w:rFonts w:ascii="Times New Roman" w:hAnsi="Times New Roman"/>
          <w:szCs w:val="32"/>
        </w:rPr>
        <w:t>区块链软硬件一体机等核心产品。</w:t>
      </w:r>
      <w:r>
        <w:rPr>
          <w:rFonts w:ascii="Times New Roman" w:hAnsi="Times New Roman" w:hint="eastAsia"/>
          <w:b/>
          <w:bCs/>
          <w:szCs w:val="32"/>
        </w:rPr>
        <w:t>推动</w:t>
      </w:r>
      <w:r>
        <w:rPr>
          <w:rFonts w:ascii="Times New Roman" w:hAnsi="Times New Roman"/>
          <w:b/>
          <w:bCs/>
          <w:szCs w:val="32"/>
        </w:rPr>
        <w:t>区块链</w:t>
      </w:r>
      <w:r>
        <w:rPr>
          <w:rFonts w:ascii="Times New Roman" w:hAnsi="Times New Roman" w:hint="eastAsia"/>
          <w:b/>
          <w:bCs/>
          <w:szCs w:val="32"/>
        </w:rPr>
        <w:t>基础服务能力建设，</w:t>
      </w:r>
      <w:r>
        <w:rPr>
          <w:rFonts w:ascii="Times New Roman" w:hAnsi="Times New Roman" w:hint="eastAsia"/>
          <w:szCs w:val="32"/>
        </w:rPr>
        <w:t>重点培育区块链管理服务平台相关运营企业，提供整链搭建、应用开发、快速部署等一站式服务。</w:t>
      </w:r>
      <w:r>
        <w:rPr>
          <w:rFonts w:ascii="仿宋_GB2312" w:hAnsi="华文中宋" w:cs="华文中宋" w:hint="eastAsia"/>
          <w:b/>
          <w:bCs/>
          <w:szCs w:val="32"/>
        </w:rPr>
        <w:t>推动区块链技术在政务服务、城市</w:t>
      </w:r>
      <w:r>
        <w:rPr>
          <w:rFonts w:ascii="仿宋_GB2312" w:hAnsi="华文中宋" w:cs="华文中宋" w:hint="eastAsia"/>
          <w:b/>
          <w:bCs/>
          <w:szCs w:val="32"/>
        </w:rPr>
        <w:lastRenderedPageBreak/>
        <w:t>治理、金融科技等关键领域的场景落地</w:t>
      </w:r>
      <w:r>
        <w:rPr>
          <w:rFonts w:ascii="仿宋_GB2312" w:hAnsi="华文中宋" w:cs="华文中宋" w:hint="eastAsia"/>
          <w:szCs w:val="32"/>
        </w:rPr>
        <w:t>，</w:t>
      </w:r>
      <w:r>
        <w:rPr>
          <w:rFonts w:ascii="Times New Roman" w:hAnsi="Times New Roman" w:hint="eastAsia"/>
          <w:szCs w:val="32"/>
        </w:rPr>
        <w:t>探索打造城市级可信数据空间</w:t>
      </w:r>
      <w:r>
        <w:rPr>
          <w:rFonts w:ascii="Times New Roman" w:hAnsi="Times New Roman"/>
          <w:szCs w:val="32"/>
        </w:rPr>
        <w:t>，推广区块链与隐私计算融合应用。</w:t>
      </w:r>
      <w:r>
        <w:rPr>
          <w:rFonts w:ascii="Times New Roman" w:hAnsi="Times New Roman" w:hint="eastAsia"/>
          <w:szCs w:val="32"/>
        </w:rPr>
        <w:t>适度布局可信智能体互联网，探索智能体上链相关应用。</w:t>
      </w:r>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95" w:name="_Toc16609"/>
      <w:bookmarkStart w:id="96" w:name="_Toc12395"/>
      <w:bookmarkStart w:id="97" w:name="_Toc24285"/>
      <w:bookmarkEnd w:id="89"/>
      <w:bookmarkEnd w:id="90"/>
      <w:r>
        <w:rPr>
          <w:rFonts w:ascii="Times New Roman" w:hAnsi="Times New Roman" w:cs="仿宋_GB2312" w:hint="eastAsia"/>
          <w:bCs/>
          <w:color w:val="auto"/>
          <w14:ligatures w14:val="none"/>
        </w:rPr>
        <w:t>3</w:t>
      </w:r>
      <w:r>
        <w:rPr>
          <w:rFonts w:ascii="Times New Roman" w:hAnsi="Times New Roman" w:cs="仿宋_GB2312" w:hint="eastAsia"/>
          <w:bCs/>
          <w:color w:val="auto"/>
          <w14:ligatures w14:val="none"/>
        </w:rPr>
        <w:t>、布局合成生物前沿应用</w:t>
      </w:r>
      <w:bookmarkEnd w:id="95"/>
      <w:bookmarkEnd w:id="96"/>
      <w:bookmarkEnd w:id="97"/>
    </w:p>
    <w:p w:rsidR="009D15C7" w:rsidRDefault="00AA49B3" w:rsidP="00D9014E">
      <w:pPr>
        <w:pStyle w:val="a3"/>
        <w:widowControl/>
        <w:ind w:firstLineChars="200" w:firstLine="643"/>
        <w:jc w:val="both"/>
        <w:rPr>
          <w:rFonts w:ascii="Times New Roman" w:hAnsi="Times New Roman" w:cstheme="minorBidi"/>
          <w:szCs w:val="32"/>
        </w:rPr>
      </w:pPr>
      <w:bookmarkStart w:id="98" w:name="OLE_LINK2"/>
      <w:bookmarkStart w:id="99" w:name="OLE_LINK4"/>
      <w:r>
        <w:rPr>
          <w:rFonts w:ascii="Times New Roman" w:hAnsi="Times New Roman" w:cstheme="minorBidi" w:hint="eastAsia"/>
          <w:b/>
          <w:bCs/>
          <w:szCs w:val="32"/>
        </w:rPr>
        <w:t>聚焦核心技术策源能力建设，</w:t>
      </w:r>
      <w:r>
        <w:rPr>
          <w:rFonts w:ascii="Times New Roman" w:hAnsi="Times New Roman" w:cstheme="minorBidi" w:hint="eastAsia"/>
          <w:szCs w:val="32"/>
        </w:rPr>
        <w:t>布局基因编辑、基因重组、</w:t>
      </w:r>
      <w:r>
        <w:rPr>
          <w:rFonts w:ascii="Times New Roman" w:hAnsi="Times New Roman" w:cstheme="minorBidi" w:hint="eastAsia"/>
          <w:szCs w:val="32"/>
        </w:rPr>
        <w:t>DNA</w:t>
      </w:r>
      <w:r>
        <w:rPr>
          <w:rFonts w:ascii="Times New Roman" w:hAnsi="Times New Roman" w:cstheme="minorBidi" w:hint="eastAsia"/>
          <w:szCs w:val="32"/>
        </w:rPr>
        <w:t>合成、</w:t>
      </w:r>
      <w:r>
        <w:rPr>
          <w:rFonts w:ascii="仿宋_GB2312" w:hAnsi="仿宋_GB2312" w:cs="仿宋_GB2312" w:hint="eastAsia"/>
          <w:color w:val="000000" w:themeColor="text1"/>
          <w:szCs w:val="32"/>
        </w:rPr>
        <w:t>生物元件挖掘与底盘细胞构建等高技术壁垒研发领域，发展</w:t>
      </w:r>
      <w:r>
        <w:rPr>
          <w:rFonts w:ascii="Times New Roman" w:hAnsi="Times New Roman" w:cstheme="minorBidi" w:hint="eastAsia"/>
          <w:szCs w:val="32"/>
        </w:rPr>
        <w:t>AI</w:t>
      </w:r>
      <w:r>
        <w:rPr>
          <w:rFonts w:ascii="Times New Roman" w:hAnsi="Times New Roman" w:cstheme="minorBidi" w:hint="eastAsia"/>
          <w:szCs w:val="32"/>
        </w:rPr>
        <w:t>辅助生物设计、代谢路径预测、蛋白结构模拟等前沿技术</w:t>
      </w:r>
      <w:r>
        <w:rPr>
          <w:rFonts w:ascii="仿宋_GB2312" w:hAnsi="仿宋_GB2312" w:cs="仿宋_GB2312" w:hint="eastAsia"/>
          <w:szCs w:val="32"/>
        </w:rPr>
        <w:t>。</w:t>
      </w:r>
      <w:r>
        <w:rPr>
          <w:rFonts w:ascii="Times New Roman" w:hAnsi="Times New Roman" w:cstheme="minorBidi" w:hint="eastAsia"/>
          <w:szCs w:val="32"/>
        </w:rPr>
        <w:t>深耕高活性益生菌、功能性寡糖、天然抗氧化剂等核心成分研发，形成</w:t>
      </w:r>
      <w:r>
        <w:rPr>
          <w:rFonts w:ascii="Times New Roman" w:hAnsi="Times New Roman" w:cstheme="minorBidi" w:hint="eastAsia"/>
          <w:b/>
          <w:bCs/>
          <w:szCs w:val="32"/>
        </w:rPr>
        <w:t>功能食品</w:t>
      </w:r>
      <w:r>
        <w:rPr>
          <w:rFonts w:ascii="Times New Roman" w:hAnsi="Times New Roman" w:cstheme="minorBidi" w:hint="eastAsia"/>
          <w:szCs w:val="32"/>
        </w:rPr>
        <w:t>原料与创新配方优势；重点发展生物合成胶原蛋白、透明质酸、植物源功效活性物、护肤多肽等高附加值</w:t>
      </w:r>
      <w:r>
        <w:rPr>
          <w:rFonts w:ascii="Times New Roman" w:hAnsi="Times New Roman" w:cstheme="minorBidi" w:hint="eastAsia"/>
          <w:b/>
          <w:bCs/>
          <w:szCs w:val="32"/>
        </w:rPr>
        <w:t>美妆原料</w:t>
      </w:r>
      <w:r>
        <w:rPr>
          <w:rFonts w:ascii="Times New Roman" w:hAnsi="Times New Roman" w:cstheme="minorBidi" w:hint="eastAsia"/>
          <w:szCs w:val="32"/>
        </w:rPr>
        <w:t>体系。</w:t>
      </w:r>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100" w:name="_Toc6683"/>
      <w:bookmarkStart w:id="101" w:name="_Toc19552"/>
      <w:bookmarkStart w:id="102" w:name="_Toc4948"/>
      <w:bookmarkEnd w:id="98"/>
      <w:bookmarkEnd w:id="99"/>
      <w:r>
        <w:rPr>
          <w:rFonts w:ascii="Times New Roman" w:hAnsi="Times New Roman" w:cs="仿宋_GB2312" w:hint="eastAsia"/>
          <w:bCs/>
          <w:color w:val="auto"/>
          <w14:ligatures w14:val="none"/>
        </w:rPr>
        <w:t>4</w:t>
      </w:r>
      <w:r>
        <w:rPr>
          <w:rFonts w:ascii="Times New Roman" w:hAnsi="Times New Roman" w:cs="仿宋_GB2312" w:hint="eastAsia"/>
          <w:bCs/>
          <w:color w:val="auto"/>
          <w14:ligatures w14:val="none"/>
        </w:rPr>
        <w:t>、抢占量子科技领先优势</w:t>
      </w:r>
      <w:bookmarkEnd w:id="100"/>
      <w:bookmarkEnd w:id="101"/>
      <w:bookmarkEnd w:id="102"/>
    </w:p>
    <w:p w:rsidR="009D15C7" w:rsidRDefault="00AA49B3" w:rsidP="00D9014E">
      <w:pPr>
        <w:spacing w:after="40"/>
        <w:ind w:firstLineChars="200" w:firstLine="643"/>
        <w:jc w:val="both"/>
        <w:rPr>
          <w:rFonts w:ascii="Times New Roman" w:hAnsi="Times New Roman"/>
          <w:szCs w:val="32"/>
        </w:rPr>
      </w:pPr>
      <w:r>
        <w:rPr>
          <w:rFonts w:ascii="Times New Roman" w:hAnsi="Times New Roman" w:hint="eastAsia"/>
          <w:b/>
          <w:bCs/>
          <w:szCs w:val="32"/>
        </w:rPr>
        <w:t>打造量子计算产业生态集群，</w:t>
      </w:r>
      <w:r>
        <w:rPr>
          <w:rFonts w:ascii="Times New Roman" w:hAnsi="Times New Roman" w:hint="eastAsia"/>
          <w:szCs w:val="32"/>
        </w:rPr>
        <w:t>重点集聚超导、中性原子、离子阱等主流路线的优质企业与初创团队，支持量子计算原型机研制；布局量子光学器件、测控设备、基础软件及通用工具包等关键领域。推动量子计算技术在金融风控、药物研发、材料性能模拟等领域落地应用。加快量子安全路由、高灵敏度量子传感器等产品布局，</w:t>
      </w:r>
      <w:r>
        <w:rPr>
          <w:rFonts w:ascii="Times New Roman" w:hAnsi="Times New Roman"/>
          <w:b/>
          <w:bCs/>
          <w:szCs w:val="32"/>
        </w:rPr>
        <w:t>推动量子</w:t>
      </w:r>
      <w:r>
        <w:rPr>
          <w:rFonts w:ascii="Times New Roman" w:hAnsi="Times New Roman" w:hint="eastAsia"/>
          <w:b/>
          <w:bCs/>
          <w:szCs w:val="32"/>
        </w:rPr>
        <w:t>通信网络建设以及量</w:t>
      </w:r>
      <w:r>
        <w:rPr>
          <w:rFonts w:ascii="Times New Roman" w:hAnsi="Times New Roman" w:hint="eastAsia"/>
          <w:b/>
          <w:bCs/>
          <w:kern w:val="0"/>
          <w:szCs w:val="32"/>
          <w:lang w:bidi="ar"/>
          <w14:ligatures w14:val="none"/>
        </w:rPr>
        <w:t>子测量技术的落地应用</w:t>
      </w:r>
      <w:r>
        <w:rPr>
          <w:rFonts w:ascii="Times New Roman" w:hAnsi="Times New Roman"/>
          <w:szCs w:val="32"/>
        </w:rPr>
        <w:t>。</w:t>
      </w:r>
    </w:p>
    <w:p w:rsidR="009D15C7" w:rsidRDefault="00AA49B3" w:rsidP="00D9014E">
      <w:pPr>
        <w:pStyle w:val="3"/>
        <w:adjustRightInd w:val="0"/>
        <w:snapToGrid w:val="0"/>
        <w:ind w:firstLineChars="200" w:firstLine="643"/>
        <w:rPr>
          <w:rFonts w:ascii="Times New Roman" w:hAnsi="Times New Roman" w:cs="仿宋_GB2312"/>
          <w:b w:val="0"/>
          <w:bCs/>
          <w:color w:val="auto"/>
          <w14:ligatures w14:val="none"/>
        </w:rPr>
      </w:pPr>
      <w:bookmarkStart w:id="103" w:name="_Toc208142497"/>
      <w:bookmarkStart w:id="104" w:name="_Toc12355"/>
      <w:bookmarkStart w:id="105" w:name="_Toc19721"/>
      <w:bookmarkStart w:id="106" w:name="_Toc5017"/>
      <w:bookmarkStart w:id="107" w:name="_Toc208142509"/>
      <w:r>
        <w:rPr>
          <w:rFonts w:ascii="Times New Roman" w:hAnsi="Times New Roman" w:cs="仿宋_GB2312" w:hint="eastAsia"/>
          <w:bCs/>
          <w:color w:val="auto"/>
          <w14:ligatures w14:val="none"/>
        </w:rPr>
        <w:t>5</w:t>
      </w:r>
      <w:r>
        <w:rPr>
          <w:rFonts w:ascii="Times New Roman" w:hAnsi="Times New Roman" w:cs="仿宋_GB2312" w:hint="eastAsia"/>
          <w:bCs/>
          <w:color w:val="auto"/>
          <w14:ligatures w14:val="none"/>
        </w:rPr>
        <w:t>、培育</w:t>
      </w:r>
      <w:bookmarkEnd w:id="103"/>
      <w:r>
        <w:rPr>
          <w:rFonts w:ascii="Times New Roman" w:hAnsi="Times New Roman" w:cs="仿宋_GB2312" w:hint="eastAsia"/>
          <w:bCs/>
          <w:color w:val="auto"/>
          <w14:ligatures w14:val="none"/>
        </w:rPr>
        <w:t>先进核能创新高地</w:t>
      </w:r>
      <w:bookmarkEnd w:id="104"/>
      <w:bookmarkEnd w:id="105"/>
      <w:bookmarkEnd w:id="106"/>
    </w:p>
    <w:p w:rsidR="009D15C7" w:rsidRDefault="00AA49B3" w:rsidP="00D9014E">
      <w:pPr>
        <w:pStyle w:val="a5"/>
        <w:spacing w:after="0"/>
        <w:ind w:firstLineChars="200" w:firstLine="643"/>
        <w:jc w:val="both"/>
        <w:rPr>
          <w:rFonts w:ascii="Times New Roman" w:hAnsi="Times New Roman"/>
          <w:b/>
          <w:bCs/>
          <w14:ligatures w14:val="none"/>
        </w:rPr>
      </w:pPr>
      <w:r>
        <w:rPr>
          <w:rFonts w:ascii="Times New Roman" w:hAnsi="Times New Roman" w:cs="宋体" w:hint="eastAsia"/>
          <w:b/>
          <w:bCs/>
        </w:rPr>
        <w:t>加快核裂变关键设备研发生产，</w:t>
      </w:r>
      <w:r>
        <w:rPr>
          <w:rFonts w:ascii="Times New Roman" w:hAnsi="Times New Roman" w:cs="宋体" w:hint="eastAsia"/>
        </w:rPr>
        <w:t>引育数字孪生、虚拟仿真、核材料研发类企业，推动核级传感器、堆芯、控制棒驱动机构等关键设备研发与小批量试制。</w:t>
      </w:r>
      <w:r>
        <w:rPr>
          <w:rFonts w:ascii="Times New Roman" w:hAnsi="Times New Roman" w:cs="宋体" w:hint="eastAsia"/>
          <w:b/>
          <w:bCs/>
        </w:rPr>
        <w:t>前瞻布局</w:t>
      </w:r>
      <w:r>
        <w:rPr>
          <w:rFonts w:ascii="Times New Roman" w:hAnsi="Times New Roman" w:hint="eastAsia"/>
          <w:b/>
          <w:bCs/>
          <w14:ligatures w14:val="none"/>
        </w:rPr>
        <w:t>可控核聚变</w:t>
      </w:r>
      <w:r>
        <w:rPr>
          <w:rFonts w:ascii="Times New Roman" w:hAnsi="Times New Roman" w:hint="eastAsia"/>
          <w:b/>
          <w:bCs/>
          <w14:ligatures w14:val="none"/>
        </w:rPr>
        <w:lastRenderedPageBreak/>
        <w:t>技术，</w:t>
      </w:r>
      <w:r>
        <w:rPr>
          <w:rFonts w:ascii="Times New Roman" w:hAnsi="Times New Roman" w:hint="eastAsia"/>
          <w14:ligatures w14:val="none"/>
        </w:rPr>
        <w:t>聚焦高温超导磁体、等离子体材料、氚循环利用等关键技术，研发聚变诊断仪器、精密传感器等设备，推动高温超导托卡马克装置研发与优化。</w:t>
      </w:r>
      <w:r>
        <w:rPr>
          <w:rFonts w:ascii="Times New Roman" w:hAnsi="Times New Roman" w:cs="宋体" w:hint="eastAsia"/>
          <w:b/>
          <w:bCs/>
        </w:rPr>
        <w:t>拓宽核技术多元应用场景，</w:t>
      </w:r>
      <w:r>
        <w:rPr>
          <w:rFonts w:ascii="Times New Roman" w:hAnsi="Times New Roman" w:cs="宋体" w:hint="eastAsia"/>
        </w:rPr>
        <w:t>大力发展核电制氢、热电联产，深耕高端医疗影像、辐照检测等领域技术和装备研发。</w:t>
      </w:r>
    </w:p>
    <w:p w:rsidR="009D15C7" w:rsidRDefault="00AA49B3">
      <w:pPr>
        <w:pStyle w:val="1"/>
        <w:ind w:firstLineChars="200" w:firstLine="640"/>
        <w:rPr>
          <w:rFonts w:ascii="黑体" w:hAnsi="黑体"/>
          <w:b w:val="0"/>
          <w:bCs w:val="0"/>
          <w:szCs w:val="32"/>
        </w:rPr>
      </w:pPr>
      <w:bookmarkStart w:id="108" w:name="_Toc29138"/>
      <w:bookmarkStart w:id="109" w:name="_Toc5211"/>
      <w:bookmarkStart w:id="110" w:name="_Toc1954"/>
      <w:r>
        <w:rPr>
          <w:rFonts w:ascii="黑体" w:hAnsi="黑体" w:hint="eastAsia"/>
          <w:b w:val="0"/>
          <w:bCs w:val="0"/>
          <w:szCs w:val="32"/>
        </w:rPr>
        <w:t>五、</w:t>
      </w:r>
      <w:bookmarkEnd w:id="107"/>
      <w:r>
        <w:rPr>
          <w:rFonts w:ascii="黑体" w:hAnsi="黑体" w:hint="eastAsia"/>
          <w:b w:val="0"/>
          <w:bCs w:val="0"/>
          <w:szCs w:val="32"/>
        </w:rPr>
        <w:t>重点举措</w:t>
      </w:r>
      <w:bookmarkEnd w:id="108"/>
      <w:bookmarkEnd w:id="109"/>
      <w:bookmarkEnd w:id="110"/>
    </w:p>
    <w:p w:rsidR="009D15C7" w:rsidRDefault="00AA49B3">
      <w:pPr>
        <w:pStyle w:val="2"/>
      </w:pPr>
      <w:bookmarkStart w:id="111" w:name="_Toc5137"/>
      <w:bookmarkStart w:id="112" w:name="_Toc13191"/>
      <w:bookmarkStart w:id="113" w:name="_Toc19970"/>
      <w:r>
        <w:rPr>
          <w:rFonts w:hint="eastAsia"/>
        </w:rPr>
        <w:t>（一）人工智能高地计划</w:t>
      </w:r>
      <w:bookmarkEnd w:id="111"/>
      <w:bookmarkEnd w:id="112"/>
      <w:bookmarkEnd w:id="113"/>
    </w:p>
    <w:p w:rsidR="009D15C7" w:rsidRDefault="00AA49B3" w:rsidP="00D9014E">
      <w:pPr>
        <w:ind w:firstLineChars="200" w:firstLine="643"/>
        <w:jc w:val="both"/>
        <w:rPr>
          <w:rFonts w:ascii="仿宋_GB2312" w:hAnsi="仿宋_GB2312" w:cs="仿宋_GB2312"/>
          <w:szCs w:val="32"/>
        </w:rPr>
      </w:pPr>
      <w:bookmarkStart w:id="114" w:name="_Toc4106"/>
      <w:bookmarkStart w:id="115" w:name="_Toc10500"/>
      <w:bookmarkStart w:id="116" w:name="_Toc15088"/>
      <w:r>
        <w:rPr>
          <w:rFonts w:ascii="仿宋_GB2312" w:hAnsi="仿宋_GB2312" w:cs="仿宋_GB2312" w:hint="eastAsia"/>
          <w:b/>
          <w:bCs/>
          <w:szCs w:val="32"/>
        </w:rPr>
        <w:t>强化要素赋能生态建设，</w:t>
      </w:r>
      <w:r>
        <w:rPr>
          <w:rFonts w:ascii="仿宋_GB2312" w:hAnsi="仿宋_GB2312" w:cs="仿宋_GB2312" w:hint="eastAsia"/>
          <w:szCs w:val="32"/>
        </w:rPr>
        <w:t>升级光启系列人才项目，实施全球AI人才招募、白玉兰人才及前沿部署工程师（FDE）人才培养计划。打造多层次资本矩阵，探索“投补结合”“先投后股”和算力赋能等新型融资模式。</w:t>
      </w:r>
      <w:r>
        <w:rPr>
          <w:rFonts w:ascii="仿宋_GB2312" w:hAnsi="仿宋_GB2312" w:cs="仿宋_GB2312" w:hint="eastAsia"/>
          <w:b/>
          <w:bCs/>
          <w:szCs w:val="32"/>
        </w:rPr>
        <w:t>构建开放有序的安全治理生态，</w:t>
      </w:r>
      <w:r>
        <w:rPr>
          <w:rFonts w:ascii="仿宋_GB2312" w:hAnsi="仿宋_GB2312" w:cs="仿宋_GB2312" w:hint="eastAsia"/>
          <w:szCs w:val="32"/>
        </w:rPr>
        <w:t>突破智能体、基础模型等领域核心技术标准，积极筹建人工智能国际标准组织以及治理研究中心，支持企业完成备案与评测，搭建多元可信测试评估体系。</w:t>
      </w:r>
      <w:r>
        <w:rPr>
          <w:rFonts w:ascii="仿宋_GB2312" w:hAnsi="仿宋_GB2312" w:cs="仿宋_GB2312" w:hint="eastAsia"/>
          <w:b/>
          <w:bCs/>
          <w:szCs w:val="32"/>
        </w:rPr>
        <w:t>深化国际开放交流合作，</w:t>
      </w:r>
      <w:r>
        <w:rPr>
          <w:rFonts w:ascii="仿宋_GB2312" w:hAnsi="仿宋_GB2312" w:cs="仿宋_GB2312" w:hint="eastAsia"/>
          <w:szCs w:val="32"/>
        </w:rPr>
        <w:t>推动国际合作类重点项目落地，落实人工智能能力建设普惠计划。深化与开放原子开源基金会等国家级战略合作，扶持优质开源项目进入国际主流社区生态，打造具有国际影响力的开源社区与开发者生态。依托世界人工智能大会等平台，构建链接全球的开源开放创新场。</w:t>
      </w:r>
    </w:p>
    <w:p w:rsidR="009D15C7" w:rsidRDefault="00AA49B3">
      <w:pPr>
        <w:pStyle w:val="2"/>
      </w:pPr>
      <w:r>
        <w:rPr>
          <w:rFonts w:hint="eastAsia"/>
        </w:rPr>
        <w:t>（二）新质服务商计划</w:t>
      </w:r>
      <w:bookmarkEnd w:id="114"/>
      <w:bookmarkEnd w:id="115"/>
      <w:bookmarkEnd w:id="116"/>
    </w:p>
    <w:p w:rsidR="009D15C7" w:rsidRDefault="00AA49B3">
      <w:pPr>
        <w:widowControl/>
        <w:ind w:firstLine="643"/>
        <w:jc w:val="both"/>
        <w:rPr>
          <w:rFonts w:ascii="仿宋_GB2312" w:hAnsi="仿宋_GB2312"/>
          <w:szCs w:val="32"/>
        </w:rPr>
      </w:pPr>
      <w:r>
        <w:rPr>
          <w:rFonts w:ascii="仿宋_GB2312" w:hAnsi="仿宋_GB2312" w:hint="eastAsia"/>
          <w:b/>
          <w:bCs/>
          <w:szCs w:val="32"/>
        </w:rPr>
        <w:t>强化政策服务保障</w:t>
      </w:r>
      <w:r>
        <w:rPr>
          <w:rFonts w:ascii="仿宋_GB2312" w:hAnsi="仿宋_GB2312" w:hint="eastAsia"/>
          <w:szCs w:val="32"/>
        </w:rPr>
        <w:t>，推广专业服务券、新质服务券等政策，探索新型政策工具，强化政策资金支持。</w:t>
      </w:r>
      <w:r>
        <w:rPr>
          <w:rFonts w:ascii="仿宋_GB2312" w:hAnsi="仿宋_GB2312" w:hint="eastAsia"/>
          <w:b/>
          <w:bCs/>
          <w:szCs w:val="32"/>
        </w:rPr>
        <w:t>搭建专业服务平台，</w:t>
      </w:r>
      <w:r>
        <w:rPr>
          <w:rFonts w:ascii="仿宋_GB2312" w:hAnsi="仿宋_GB2312" w:hint="eastAsia"/>
          <w:szCs w:val="32"/>
        </w:rPr>
        <w:t>梳理“徐汇服务生态清单”，集成全区载体、服务机</w:t>
      </w:r>
      <w:r>
        <w:rPr>
          <w:rFonts w:ascii="仿宋_GB2312" w:hAnsi="仿宋_GB2312" w:hint="eastAsia"/>
          <w:szCs w:val="32"/>
        </w:rPr>
        <w:lastRenderedPageBreak/>
        <w:t>构、主题活动等服务信息，以优质服务吸引各领域高成长企业集聚；支持企业承办专业展会，引导优质服务机构参与进博会服务。</w:t>
      </w:r>
      <w:r>
        <w:rPr>
          <w:rFonts w:ascii="仿宋_GB2312" w:hAnsi="仿宋_GB2312" w:hint="eastAsia"/>
          <w:b/>
          <w:bCs/>
          <w:szCs w:val="32"/>
        </w:rPr>
        <w:t>加快引育国内外高端服务机构，</w:t>
      </w:r>
      <w:r>
        <w:rPr>
          <w:rFonts w:ascii="仿宋_GB2312" w:hAnsi="仿宋_GB2312" w:hint="eastAsia"/>
          <w:szCs w:val="32"/>
        </w:rPr>
        <w:t>支持本土机构向区域或全球总部升级。鼓励平台公司、大型集团设立专业服务子公司，孵化科创型专业服务机构，带动中小服务商集聚。</w:t>
      </w:r>
      <w:r>
        <w:rPr>
          <w:rFonts w:ascii="仿宋_GB2312" w:hAnsi="仿宋_GB2312" w:hint="eastAsia"/>
          <w:b/>
          <w:bCs/>
          <w:szCs w:val="32"/>
        </w:rPr>
        <w:t>推动空间载体集聚发展，</w:t>
      </w:r>
      <w:r>
        <w:rPr>
          <w:rFonts w:ascii="仿宋_GB2312" w:hAnsi="仿宋_GB2312" w:hint="eastAsia"/>
          <w:szCs w:val="32"/>
        </w:rPr>
        <w:t>支持徐汇滨江地区做强“AI+”广告业、组织管理、法律服务等优势行业，推动徐汇中城人力资源产业集聚区、西岸国际法律服务区、大徐家汇国际商贸法律服务圈等平台载体建设。</w:t>
      </w:r>
      <w:r>
        <w:rPr>
          <w:rFonts w:ascii="仿宋_GB2312" w:hAnsi="仿宋_GB2312" w:hint="eastAsia"/>
          <w:b/>
          <w:bCs/>
          <w:szCs w:val="32"/>
        </w:rPr>
        <w:t>全力提升出海服务水平，</w:t>
      </w:r>
      <w:r>
        <w:rPr>
          <w:rFonts w:ascii="仿宋_GB2312" w:hAnsi="仿宋_GB2312" w:hint="eastAsia"/>
          <w:szCs w:val="32"/>
        </w:rPr>
        <w:t>依托市级企业“走出去”服务平台，融入全市海外综合服务体系，建立常态化活动举办和交流合作机制。</w:t>
      </w:r>
    </w:p>
    <w:p w:rsidR="009D15C7" w:rsidRDefault="00AA49B3" w:rsidP="00D9014E">
      <w:pPr>
        <w:adjustRightInd w:val="0"/>
        <w:snapToGrid w:val="0"/>
        <w:ind w:firstLineChars="200" w:firstLine="643"/>
        <w:jc w:val="both"/>
        <w:outlineLvl w:val="1"/>
        <w:rPr>
          <w:rFonts w:ascii="楷体" w:eastAsia="楷体" w:hAnsi="楷体" w:cs="楷体"/>
          <w:b/>
          <w:bCs/>
          <w:szCs w:val="32"/>
          <w14:ligatures w14:val="none"/>
        </w:rPr>
      </w:pPr>
      <w:bookmarkStart w:id="117" w:name="_Toc4223"/>
      <w:bookmarkStart w:id="118" w:name="_Toc29867"/>
      <w:bookmarkStart w:id="119" w:name="_Toc23187"/>
      <w:r>
        <w:rPr>
          <w:rFonts w:ascii="楷体" w:eastAsia="楷体" w:hAnsi="楷体" w:cs="楷体" w:hint="eastAsia"/>
          <w:b/>
          <w:bCs/>
          <w:szCs w:val="32"/>
          <w14:ligatures w14:val="none"/>
        </w:rPr>
        <w:t>（三）科技创新引领</w:t>
      </w:r>
      <w:bookmarkEnd w:id="117"/>
      <w:bookmarkEnd w:id="118"/>
      <w:r>
        <w:rPr>
          <w:rFonts w:ascii="楷体" w:eastAsia="楷体" w:hAnsi="楷体" w:cs="楷体" w:hint="eastAsia"/>
          <w:b/>
          <w:bCs/>
          <w:szCs w:val="32"/>
          <w14:ligatures w14:val="none"/>
        </w:rPr>
        <w:t>计划</w:t>
      </w:r>
      <w:bookmarkEnd w:id="119"/>
    </w:p>
    <w:p w:rsidR="009D15C7" w:rsidRDefault="00AA49B3" w:rsidP="00D9014E">
      <w:pPr>
        <w:widowControl/>
        <w:ind w:firstLineChars="200" w:firstLine="643"/>
        <w:rPr>
          <w:rFonts w:ascii="仿宋_GB2312"/>
          <w:szCs w:val="32"/>
        </w:rPr>
      </w:pPr>
      <w:r>
        <w:rPr>
          <w:rFonts w:ascii="仿宋_GB2312" w:hAnsi="仿宋_GB2312" w:hint="eastAsia"/>
          <w:b/>
          <w:bCs/>
          <w:szCs w:val="32"/>
        </w:rPr>
        <w:t>加强战略科技力量策源功能，</w:t>
      </w:r>
      <w:r>
        <w:rPr>
          <w:rFonts w:ascii="仿宋_GB2312" w:hAnsi="仿宋_GB2312" w:hint="eastAsia"/>
          <w:szCs w:val="32"/>
        </w:rPr>
        <w:t>支持上海人工智能实验室等机构攻关前沿模型，发挥</w:t>
      </w:r>
      <w:r>
        <w:rPr>
          <w:rFonts w:ascii="仿宋_GB2312" w:hint="eastAsia"/>
          <w:szCs w:val="32"/>
        </w:rPr>
        <w:t>上海科学智能研究院、上海浦芯未来互联网研究院</w:t>
      </w:r>
      <w:r>
        <w:rPr>
          <w:rFonts w:ascii="仿宋_GB2312" w:hAnsi="仿宋_GB2312" w:hint="eastAsia"/>
          <w:szCs w:val="32"/>
        </w:rPr>
        <w:t>等新型研发机构作用，构建从基础研究到场景应用的全链条创新体系。</w:t>
      </w:r>
      <w:r>
        <w:rPr>
          <w:rFonts w:ascii="仿宋_GB2312" w:hAnsi="仿宋_GB2312" w:hint="eastAsia"/>
          <w:b/>
          <w:bCs/>
          <w:szCs w:val="32"/>
        </w:rPr>
        <w:t>加快推动创新创业社区建设，</w:t>
      </w:r>
      <w:r>
        <w:rPr>
          <w:rFonts w:ascii="仿宋_GB2312" w:hAnsi="仿宋_GB2312" w:hint="eastAsia"/>
          <w:szCs w:val="32"/>
        </w:rPr>
        <w:t>依托创智共生社区、模速空间大模型创新生态社区、数链空间943“原力社区”等载体，搭建技术交流、文化互动平台，激发社区创新活力。</w:t>
      </w:r>
      <w:r>
        <w:rPr>
          <w:rFonts w:ascii="仿宋_GB2312" w:hAnsi="仿宋_GB2312" w:hint="eastAsia"/>
          <w:b/>
          <w:bCs/>
          <w:szCs w:val="32"/>
        </w:rPr>
        <w:t>构建高校高质量创新生态，</w:t>
      </w:r>
      <w:r>
        <w:rPr>
          <w:rFonts w:ascii="仿宋_GB2312" w:hAnsi="仿宋_GB2312" w:hint="eastAsia"/>
          <w:szCs w:val="32"/>
        </w:rPr>
        <w:t>加强与上海交通大学、香港科技大学等国际一流高校合作，做强优势学科集群。鼓励科技领军企业积极参与“基础研究探索者计划”，</w:t>
      </w:r>
      <w:r>
        <w:rPr>
          <w:rFonts w:ascii="仿宋_GB2312" w:hAnsi="仿宋_GB2312" w:hint="eastAsia"/>
          <w:b/>
          <w:bCs/>
          <w:szCs w:val="32"/>
        </w:rPr>
        <w:t>引导企业加大基础研究投入。</w:t>
      </w:r>
      <w:r>
        <w:rPr>
          <w:rFonts w:ascii="仿宋_GB2312" w:hAnsi="仿宋_GB2312" w:hint="eastAsia"/>
          <w:szCs w:val="32"/>
        </w:rPr>
        <w:t>支持共建联合实验室、工程中心，完善研发与临床转化体系，培育一批概念验证、小试中</w:t>
      </w:r>
      <w:r>
        <w:rPr>
          <w:rFonts w:ascii="仿宋_GB2312" w:hAnsi="仿宋_GB2312" w:hint="eastAsia"/>
          <w:szCs w:val="32"/>
        </w:rPr>
        <w:lastRenderedPageBreak/>
        <w:t>试服务、检验检测等技术平台，</w:t>
      </w:r>
      <w:r>
        <w:rPr>
          <w:rFonts w:ascii="仿宋_GB2312" w:hAnsi="仿宋_GB2312" w:hint="eastAsia"/>
          <w:b/>
          <w:bCs/>
          <w:szCs w:val="32"/>
        </w:rPr>
        <w:t>提升科技创新平台能级</w:t>
      </w:r>
      <w:r>
        <w:rPr>
          <w:rFonts w:ascii="仿宋_GB2312" w:hAnsi="仿宋_GB2312" w:hint="eastAsia"/>
          <w:szCs w:val="32"/>
        </w:rPr>
        <w:t>。夯实区科技成果转化服务中心综合服务能力，促进科技成果与市场需求的有效对接。</w:t>
      </w:r>
    </w:p>
    <w:p w:rsidR="009D15C7" w:rsidRDefault="00AA49B3">
      <w:pPr>
        <w:pStyle w:val="2"/>
      </w:pPr>
      <w:bookmarkStart w:id="120" w:name="_Toc29085"/>
      <w:bookmarkStart w:id="121" w:name="_Toc15550"/>
      <w:bookmarkStart w:id="122" w:name="_Toc19398"/>
      <w:r>
        <w:rPr>
          <w:rFonts w:hint="eastAsia"/>
        </w:rPr>
        <w:t>（四）企业</w:t>
      </w:r>
      <w:bookmarkEnd w:id="120"/>
      <w:r>
        <w:rPr>
          <w:rFonts w:hint="eastAsia"/>
        </w:rPr>
        <w:t>梯度培育</w:t>
      </w:r>
      <w:bookmarkEnd w:id="121"/>
      <w:r>
        <w:rPr>
          <w:rFonts w:hint="eastAsia"/>
        </w:rPr>
        <w:t>计划</w:t>
      </w:r>
      <w:bookmarkEnd w:id="122"/>
    </w:p>
    <w:p w:rsidR="009D15C7" w:rsidRDefault="00AA49B3" w:rsidP="00D9014E">
      <w:pPr>
        <w:ind w:firstLineChars="200" w:firstLine="643"/>
        <w:jc w:val="both"/>
        <w:rPr>
          <w:rFonts w:ascii="仿宋_GB2312" w:hAnsi="仿宋_GB2312"/>
          <w:szCs w:val="32"/>
        </w:rPr>
      </w:pPr>
      <w:r>
        <w:rPr>
          <w:rFonts w:ascii="仿宋_GB2312" w:hAnsi="仿宋_GB2312"/>
          <w:b/>
          <w:bCs/>
          <w:szCs w:val="32"/>
        </w:rPr>
        <w:t>强化大中小企业梯度培育，</w:t>
      </w:r>
      <w:r>
        <w:rPr>
          <w:rFonts w:ascii="仿宋_GB2312" w:hAnsi="仿宋_GB2312"/>
          <w:szCs w:val="32"/>
        </w:rPr>
        <w:t>引育集聚一批具有核心竞争力的企业总部、功能平台与重大项目，</w:t>
      </w:r>
      <w:r>
        <w:rPr>
          <w:rFonts w:ascii="仿宋_GB2312" w:hAnsi="仿宋_GB2312" w:hint="eastAsia"/>
          <w:szCs w:val="32"/>
        </w:rPr>
        <w:t>积极引进央企总部和核心业务板块落地，</w:t>
      </w:r>
      <w:r>
        <w:rPr>
          <w:rFonts w:ascii="仿宋_GB2312" w:hAnsi="仿宋_GB2312"/>
          <w:szCs w:val="32"/>
        </w:rPr>
        <w:t>打造央地合作</w:t>
      </w:r>
      <w:r>
        <w:rPr>
          <w:rFonts w:ascii="仿宋_GB2312" w:hAnsi="仿宋_GB2312" w:hint="eastAsia"/>
          <w:szCs w:val="32"/>
        </w:rPr>
        <w:t>范例</w:t>
      </w:r>
      <w:r>
        <w:rPr>
          <w:rFonts w:ascii="仿宋_GB2312" w:hAnsi="仿宋_GB2312"/>
          <w:szCs w:val="32"/>
        </w:rPr>
        <w:t>。</w:t>
      </w:r>
      <w:r>
        <w:rPr>
          <w:rFonts w:ascii="仿宋_GB2312" w:hAnsi="仿宋_GB2312" w:hint="eastAsia"/>
          <w:szCs w:val="32"/>
        </w:rPr>
        <w:t>实施“千帆计划”，挖掘一批成长性快、潜力高的中小企业</w:t>
      </w:r>
      <w:r>
        <w:rPr>
          <w:rFonts w:ascii="仿宋_GB2312" w:hAnsi="仿宋_GB2312"/>
          <w:szCs w:val="32"/>
        </w:rPr>
        <w:t>，构建“一人公司”</w:t>
      </w:r>
      <w:r>
        <w:rPr>
          <w:rFonts w:ascii="仿宋_GB2312" w:hAnsi="仿宋_GB2312" w:hint="eastAsia"/>
          <w:szCs w:val="32"/>
        </w:rPr>
        <w:t>（OPC）</w:t>
      </w:r>
      <w:r>
        <w:rPr>
          <w:rFonts w:ascii="仿宋_GB2312" w:hAnsi="仿宋_GB2312"/>
          <w:szCs w:val="32"/>
        </w:rPr>
        <w:t>孵化体系与超级创业者社区</w:t>
      </w:r>
      <w:r>
        <w:rPr>
          <w:rFonts w:ascii="仿宋_GB2312" w:hAnsi="仿宋_GB2312" w:hint="eastAsia"/>
          <w:szCs w:val="32"/>
        </w:rPr>
        <w:t>。</w:t>
      </w:r>
      <w:r>
        <w:rPr>
          <w:rFonts w:ascii="仿宋_GB2312" w:hAnsi="仿宋_GB2312"/>
          <w:b/>
          <w:bCs/>
          <w:szCs w:val="32"/>
        </w:rPr>
        <w:t>推动大中小企业融通创新，</w:t>
      </w:r>
      <w:r>
        <w:rPr>
          <w:rFonts w:ascii="仿宋_GB2312" w:hAnsi="仿宋_GB2312"/>
          <w:szCs w:val="32"/>
        </w:rPr>
        <w:t>鼓励大企业释放外包需求、开放共性服务设施，有序开放脱敏数据支撑初创企业研发，推动中小企业深度融入龙头企业供应链，</w:t>
      </w:r>
      <w:r>
        <w:rPr>
          <w:rFonts w:ascii="仿宋_GB2312" w:hAnsi="仿宋_GB2312" w:hint="eastAsia"/>
          <w:szCs w:val="32"/>
        </w:rPr>
        <w:t>全面提升产业整体韧性与竞争力</w:t>
      </w:r>
      <w:r>
        <w:rPr>
          <w:rFonts w:ascii="仿宋_GB2312" w:hAnsi="仿宋_GB2312"/>
          <w:szCs w:val="32"/>
        </w:rPr>
        <w:t>。</w:t>
      </w:r>
    </w:p>
    <w:p w:rsidR="009D15C7" w:rsidRDefault="00AA49B3">
      <w:pPr>
        <w:pStyle w:val="2"/>
      </w:pPr>
      <w:bookmarkStart w:id="123" w:name="_Toc10366"/>
      <w:bookmarkStart w:id="124" w:name="_Toc20207"/>
      <w:bookmarkStart w:id="125" w:name="_Toc15799"/>
      <w:r>
        <w:rPr>
          <w:rFonts w:hint="eastAsia"/>
        </w:rPr>
        <w:t>（五）民营经济</w:t>
      </w:r>
      <w:bookmarkEnd w:id="123"/>
      <w:r>
        <w:rPr>
          <w:rFonts w:hint="eastAsia"/>
        </w:rPr>
        <w:t>促进</w:t>
      </w:r>
      <w:bookmarkEnd w:id="124"/>
      <w:r>
        <w:rPr>
          <w:rFonts w:hint="eastAsia"/>
        </w:rPr>
        <w:t>计划</w:t>
      </w:r>
      <w:bookmarkEnd w:id="125"/>
    </w:p>
    <w:p w:rsidR="009D15C7" w:rsidRDefault="00AA49B3">
      <w:pPr>
        <w:widowControl/>
        <w:rPr>
          <w:rFonts w:ascii="仿宋_GB2312" w:hAnsi="仿宋_GB2312"/>
          <w:szCs w:val="32"/>
        </w:rPr>
      </w:pPr>
      <w:r>
        <w:rPr>
          <w:rFonts w:ascii="仿宋_GB2312" w:hAnsi="仿宋_GB2312" w:hint="eastAsia"/>
          <w:b/>
          <w:bCs/>
          <w:szCs w:val="32"/>
        </w:rPr>
        <w:t xml:space="preserve">    实施民营总部培育提升计划</w:t>
      </w:r>
      <w:r>
        <w:rPr>
          <w:rFonts w:ascii="仿宋_GB2312" w:hAnsi="仿宋_GB2312" w:hint="eastAsia"/>
          <w:szCs w:val="32"/>
        </w:rPr>
        <w:t>，靶向招引各类民企总部落户核心区，支持中小企业并购重组、增资扩股，鼓励民营企业争创市级、国家级单项冠军，打造一批具有全球竞争力的民营企业。</w:t>
      </w:r>
      <w:r>
        <w:rPr>
          <w:rFonts w:ascii="仿宋_GB2312" w:hAnsi="仿宋_GB2312" w:hint="eastAsia"/>
          <w:b/>
          <w:bCs/>
          <w:szCs w:val="32"/>
        </w:rPr>
        <w:t>强化民营企业创新主体地位，</w:t>
      </w:r>
      <w:r>
        <w:rPr>
          <w:rFonts w:ascii="仿宋_GB2312" w:hAnsi="仿宋_GB2312" w:hint="eastAsia"/>
          <w:szCs w:val="32"/>
        </w:rPr>
        <w:t>鼓励企业深化产学研协同攻关，共建高水平研发平台，支持民企打造具有自主知识产权的硬核产品。</w:t>
      </w:r>
      <w:r>
        <w:rPr>
          <w:rFonts w:ascii="仿宋_GB2312" w:hAnsi="仿宋_GB2312" w:hint="eastAsia"/>
          <w:b/>
          <w:bCs/>
          <w:szCs w:val="32"/>
        </w:rPr>
        <w:t>加大民间投融资支持力度，</w:t>
      </w:r>
      <w:r>
        <w:rPr>
          <w:rFonts w:ascii="仿宋_GB2312" w:hAnsi="仿宋_GB2312" w:hint="eastAsia"/>
          <w:szCs w:val="32"/>
        </w:rPr>
        <w:t>引导企业投向战略性新兴产业与未来产业关键领域，常态化开展上市培训交流，健全民营企业上市后备梯队。</w:t>
      </w:r>
    </w:p>
    <w:p w:rsidR="009D15C7" w:rsidRDefault="00AA49B3">
      <w:pPr>
        <w:pStyle w:val="2"/>
      </w:pPr>
      <w:bookmarkStart w:id="126" w:name="_Toc26673"/>
      <w:bookmarkStart w:id="127" w:name="_Toc14980"/>
      <w:bookmarkStart w:id="128" w:name="_Toc12154"/>
      <w:r>
        <w:rPr>
          <w:rFonts w:hint="eastAsia"/>
        </w:rPr>
        <w:t>（六）</w:t>
      </w:r>
      <w:bookmarkEnd w:id="126"/>
      <w:bookmarkEnd w:id="127"/>
      <w:r>
        <w:rPr>
          <w:rFonts w:hint="eastAsia"/>
        </w:rPr>
        <w:t>楼宇园区更新计划</w:t>
      </w:r>
      <w:bookmarkEnd w:id="128"/>
    </w:p>
    <w:p w:rsidR="009D15C7" w:rsidRDefault="00AA49B3" w:rsidP="00D9014E">
      <w:pPr>
        <w:widowControl/>
        <w:ind w:firstLineChars="200" w:firstLine="643"/>
        <w:rPr>
          <w:rFonts w:ascii="浠垮畫_GB2312" w:hAnsi="浠垮畫_GB2312" w:cs="浠垮畫_GB2312" w:hint="eastAsia"/>
          <w:color w:val="000000"/>
          <w:kern w:val="0"/>
          <w:sz w:val="31"/>
          <w:szCs w:val="31"/>
          <w:lang w:bidi="ar"/>
        </w:rPr>
      </w:pPr>
      <w:r>
        <w:rPr>
          <w:rFonts w:ascii="仿宋_GB2312" w:hAnsi="仿宋_GB2312" w:cs="仿宋_GB2312" w:hint="eastAsia"/>
          <w:b/>
          <w:bCs/>
          <w:szCs w:val="32"/>
          <w:lang w:bidi="ar"/>
        </w:rPr>
        <w:lastRenderedPageBreak/>
        <w:t>盘活低效产业用地与闲置楼宇载体，</w:t>
      </w:r>
      <w:r>
        <w:rPr>
          <w:rFonts w:ascii="仿宋_GB2312" w:hAnsi="仿宋_GB2312" w:cs="仿宋_GB2312" w:hint="eastAsia"/>
          <w:szCs w:val="32"/>
          <w:lang w:bidi="ar"/>
        </w:rPr>
        <w:t>稳步推进商务楼宇更新升级，加强工业遗产保护利用，推动园中园品质提升，打造适配新质生产力的新型产业空间。</w:t>
      </w:r>
      <w:r>
        <w:rPr>
          <w:rFonts w:ascii="仿宋_GB2312" w:hAnsi="仿宋_GB2312" w:cs="仿宋_GB2312" w:hint="eastAsia"/>
          <w:b/>
          <w:bCs/>
          <w:szCs w:val="32"/>
          <w:lang w:bidi="ar"/>
        </w:rPr>
        <w:t>面向主导产业精准匹配空间载体，</w:t>
      </w:r>
      <w:r>
        <w:rPr>
          <w:rFonts w:ascii="仿宋_GB2312" w:hAnsi="仿宋_GB2312" w:cs="仿宋_GB2312" w:hint="eastAsia"/>
          <w:szCs w:val="32"/>
          <w:lang w:bidi="ar"/>
        </w:rPr>
        <w:t>依托存量商务楼宇、厂房精准承接人工智能、文化创意等产业，</w:t>
      </w:r>
      <w:r>
        <w:rPr>
          <w:rFonts w:ascii="仿宋_GB2312" w:hAnsi="仿宋_GB2312"/>
          <w:szCs w:val="32"/>
        </w:rPr>
        <w:t>鼓励建设生物医药研发综合体，</w:t>
      </w:r>
      <w:r>
        <w:rPr>
          <w:rFonts w:ascii="仿宋_GB2312" w:hAnsi="仿宋_GB2312" w:hint="eastAsia"/>
          <w:szCs w:val="32"/>
        </w:rPr>
        <w:t>探索“工业上楼”模式，</w:t>
      </w:r>
      <w:r>
        <w:rPr>
          <w:rFonts w:ascii="仿宋_GB2312" w:hAnsi="仿宋_GB2312"/>
          <w:szCs w:val="32"/>
        </w:rPr>
        <w:t>打造功能复合、弹性适配的产业空间，</w:t>
      </w:r>
      <w:r>
        <w:rPr>
          <w:rFonts w:ascii="仿宋_GB2312" w:hAnsi="仿宋_GB2312" w:hint="eastAsia"/>
          <w:szCs w:val="32"/>
        </w:rPr>
        <w:t>推动</w:t>
      </w:r>
      <w:r>
        <w:rPr>
          <w:rFonts w:ascii="仿宋_GB2312" w:hAnsi="仿宋_GB2312"/>
          <w:szCs w:val="32"/>
        </w:rPr>
        <w:t>创新</w:t>
      </w:r>
      <w:r>
        <w:rPr>
          <w:rFonts w:ascii="仿宋_GB2312" w:hAnsi="仿宋_GB2312" w:hint="eastAsia"/>
          <w:szCs w:val="32"/>
        </w:rPr>
        <w:t>资源</w:t>
      </w:r>
      <w:r>
        <w:rPr>
          <w:rFonts w:ascii="仿宋_GB2312" w:hAnsi="仿宋_GB2312"/>
          <w:szCs w:val="32"/>
        </w:rPr>
        <w:t>与</w:t>
      </w:r>
      <w:r>
        <w:rPr>
          <w:rFonts w:ascii="仿宋_GB2312" w:hAnsi="仿宋_GB2312" w:hint="eastAsia"/>
          <w:szCs w:val="32"/>
        </w:rPr>
        <w:t>产业载体</w:t>
      </w:r>
      <w:r>
        <w:rPr>
          <w:rFonts w:ascii="仿宋_GB2312" w:hAnsi="仿宋_GB2312"/>
          <w:szCs w:val="32"/>
        </w:rPr>
        <w:t>深度融合</w:t>
      </w:r>
      <w:r>
        <w:rPr>
          <w:rFonts w:ascii="仿宋_GB2312" w:hAnsi="仿宋_GB2312" w:hint="eastAsia"/>
          <w:szCs w:val="32"/>
        </w:rPr>
        <w:t>。</w:t>
      </w:r>
    </w:p>
    <w:p w:rsidR="009D15C7" w:rsidRDefault="00AA49B3">
      <w:pPr>
        <w:pStyle w:val="2"/>
      </w:pPr>
      <w:bookmarkStart w:id="129" w:name="_Toc23391"/>
      <w:bookmarkStart w:id="130" w:name="_Toc31452"/>
      <w:bookmarkStart w:id="131" w:name="_Toc1774"/>
      <w:r>
        <w:rPr>
          <w:rFonts w:hint="eastAsia"/>
        </w:rPr>
        <w:t>（七）深化开放发展</w:t>
      </w:r>
      <w:bookmarkEnd w:id="129"/>
      <w:r>
        <w:rPr>
          <w:rFonts w:hint="eastAsia"/>
        </w:rPr>
        <w:t>计划</w:t>
      </w:r>
      <w:bookmarkEnd w:id="130"/>
    </w:p>
    <w:bookmarkEnd w:id="131"/>
    <w:p w:rsidR="009D15C7" w:rsidRDefault="00AA49B3" w:rsidP="00D9014E">
      <w:pPr>
        <w:widowControl/>
        <w:ind w:firstLineChars="200" w:firstLine="643"/>
        <w:jc w:val="both"/>
        <w:rPr>
          <w:rFonts w:ascii="仿宋_GB2312" w:hAnsi="仿宋_GB2312" w:cs="仿宋_GB2312"/>
          <w:b/>
          <w:bCs/>
          <w:color w:val="000000"/>
          <w:kern w:val="0"/>
          <w:szCs w:val="32"/>
          <w:lang w:bidi="ar"/>
        </w:rPr>
      </w:pPr>
      <w:r>
        <w:rPr>
          <w:rFonts w:ascii="仿宋_GB2312" w:hAnsi="仿宋_GB2312" w:cs="仿宋_GB2312" w:hint="eastAsia"/>
          <w:b/>
          <w:bCs/>
          <w:color w:val="000000"/>
          <w:kern w:val="0"/>
          <w:szCs w:val="32"/>
          <w:lang w:bidi="ar"/>
        </w:rPr>
        <w:t>扩大高水平对外开放</w:t>
      </w:r>
      <w:r>
        <w:rPr>
          <w:rFonts w:ascii="仿宋_GB2312" w:hAnsi="仿宋_GB2312" w:cs="仿宋_GB2312" w:hint="eastAsia"/>
          <w:color w:val="000000"/>
          <w:kern w:val="0"/>
          <w:szCs w:val="32"/>
          <w:lang w:bidi="ar"/>
        </w:rPr>
        <w:t>，巩固欧美、日韩等传统市场，积极拓展“一带一路”及东南亚等新兴市场，支持企业拓展跨境电商、海外仓、数字贸易等新业态，推动智能网联汽车、高端医疗器械等“新三样”产品出口。扩大入境游客规模与国际医疗旅游试点范围，发展免税经济。</w:t>
      </w:r>
      <w:r>
        <w:rPr>
          <w:rFonts w:ascii="仿宋_GB2312" w:hAnsi="仿宋_GB2312" w:cs="仿宋_GB2312" w:hint="eastAsia"/>
          <w:b/>
          <w:bCs/>
          <w:color w:val="000000"/>
          <w:kern w:val="0"/>
          <w:szCs w:val="32"/>
          <w:lang w:bidi="ar"/>
        </w:rPr>
        <w:t>深化全方位区域协同合作</w:t>
      </w:r>
      <w:r>
        <w:rPr>
          <w:rFonts w:ascii="仿宋_GB2312" w:hAnsi="仿宋_GB2312" w:cs="仿宋_GB2312" w:hint="eastAsia"/>
          <w:color w:val="000000"/>
          <w:kern w:val="0"/>
          <w:szCs w:val="32"/>
          <w:lang w:bidi="ar"/>
        </w:rPr>
        <w:t>，强化与长三角等地区的战略对接与资源统筹，促进产业分工优化、创新要素流动与市场互联互通。联动自贸区、临港等开放高地，放大中心城区资源集聚与辐射赋能效应。</w:t>
      </w:r>
    </w:p>
    <w:p w:rsidR="009D15C7" w:rsidRDefault="00AA49B3">
      <w:pPr>
        <w:pStyle w:val="2"/>
      </w:pPr>
      <w:bookmarkStart w:id="132" w:name="_Toc4198"/>
      <w:bookmarkStart w:id="133" w:name="_Toc15032"/>
      <w:r>
        <w:rPr>
          <w:rFonts w:hint="eastAsia"/>
        </w:rPr>
        <w:t>（八）营商环境提升计划</w:t>
      </w:r>
      <w:bookmarkEnd w:id="132"/>
    </w:p>
    <w:p w:rsidR="009D15C7" w:rsidRDefault="00AA49B3" w:rsidP="009D15C7">
      <w:pPr>
        <w:ind w:firstLineChars="200" w:firstLine="643"/>
        <w:rPr>
          <w:rFonts w:ascii="仿宋_GB2312" w:hAnsi="仿宋_GB2312" w:cs="仿宋_GB2312"/>
        </w:rPr>
      </w:pPr>
      <w:r>
        <w:rPr>
          <w:rFonts w:ascii="Times New Roman" w:hAnsi="Times New Roman" w:hint="eastAsia"/>
          <w:b/>
          <w:bCs/>
          <w:szCs w:val="32"/>
        </w:rPr>
        <w:t>提升政务服务和政策服务能力，</w:t>
      </w:r>
      <w:r>
        <w:rPr>
          <w:rFonts w:ascii="Times New Roman" w:hAnsi="Times New Roman" w:hint="eastAsia"/>
          <w:szCs w:val="32"/>
        </w:rPr>
        <w:t>强化“高效办成一件事”事项常态化运行机制。</w:t>
      </w:r>
      <w:r>
        <w:rPr>
          <w:rFonts w:ascii="Times New Roman" w:hAnsi="Times New Roman" w:hint="eastAsia"/>
          <w:b/>
          <w:bCs/>
          <w:szCs w:val="32"/>
        </w:rPr>
        <w:t>优化市场竞争环境，</w:t>
      </w:r>
      <w:r>
        <w:rPr>
          <w:rFonts w:ascii="Times New Roman" w:hAnsi="Times New Roman" w:hint="eastAsia"/>
          <w:szCs w:val="32"/>
        </w:rPr>
        <w:t>推进市场准入便利化，严格落实公平竞争审查制度。</w:t>
      </w:r>
      <w:r>
        <w:rPr>
          <w:rFonts w:ascii="Times New Roman" w:hAnsi="Times New Roman" w:hint="eastAsia"/>
          <w:b/>
          <w:bCs/>
          <w:szCs w:val="32"/>
        </w:rPr>
        <w:t>深化知识产权全链条保护中心功能，</w:t>
      </w:r>
      <w:r>
        <w:rPr>
          <w:rFonts w:ascii="Times New Roman" w:hAnsi="Times New Roman" w:hint="eastAsia"/>
          <w:szCs w:val="32"/>
        </w:rPr>
        <w:t>推进数据产品知识产权登记存证试点和涉外知识产权保护。</w:t>
      </w:r>
      <w:r>
        <w:rPr>
          <w:rFonts w:ascii="Times New Roman" w:hAnsi="Times New Roman" w:hint="eastAsia"/>
          <w:b/>
          <w:bCs/>
          <w:szCs w:val="32"/>
        </w:rPr>
        <w:t>加大创业支持和</w:t>
      </w:r>
      <w:r>
        <w:rPr>
          <w:rFonts w:ascii="Times New Roman" w:hAnsi="Times New Roman"/>
          <w:b/>
          <w:bCs/>
          <w:szCs w:val="32"/>
        </w:rPr>
        <w:t>融资</w:t>
      </w:r>
      <w:r>
        <w:rPr>
          <w:rFonts w:ascii="Times New Roman" w:hAnsi="Times New Roman" w:hint="eastAsia"/>
          <w:b/>
          <w:bCs/>
          <w:szCs w:val="32"/>
        </w:rPr>
        <w:t>服务水平，</w:t>
      </w:r>
      <w:r>
        <w:rPr>
          <w:rFonts w:ascii="Times New Roman" w:hAnsi="Times New Roman" w:hint="eastAsia"/>
          <w:szCs w:val="32"/>
        </w:rPr>
        <w:t>探索建设创业者集聚空间、创业首站，做好金融资本与科创产业对接</w:t>
      </w:r>
      <w:r>
        <w:rPr>
          <w:rFonts w:ascii="Times New Roman" w:hAnsi="Times New Roman"/>
          <w:szCs w:val="32"/>
        </w:rPr>
        <w:t>，提</w:t>
      </w:r>
      <w:r>
        <w:rPr>
          <w:rFonts w:ascii="Times New Roman" w:hAnsi="Times New Roman"/>
          <w:szCs w:val="32"/>
        </w:rPr>
        <w:lastRenderedPageBreak/>
        <w:t>供</w:t>
      </w:r>
      <w:r>
        <w:rPr>
          <w:rFonts w:ascii="Times New Roman" w:hAnsi="Times New Roman" w:hint="eastAsia"/>
          <w:szCs w:val="32"/>
        </w:rPr>
        <w:t>“</w:t>
      </w:r>
      <w:r>
        <w:rPr>
          <w:rFonts w:ascii="Times New Roman" w:hAnsi="Times New Roman"/>
          <w:szCs w:val="32"/>
        </w:rPr>
        <w:t>一站式</w:t>
      </w:r>
      <w:r>
        <w:rPr>
          <w:rFonts w:ascii="Times New Roman" w:hAnsi="Times New Roman" w:hint="eastAsia"/>
          <w:szCs w:val="32"/>
        </w:rPr>
        <w:t>”</w:t>
      </w:r>
      <w:r>
        <w:rPr>
          <w:rFonts w:ascii="Times New Roman" w:hAnsi="Times New Roman"/>
          <w:szCs w:val="32"/>
        </w:rPr>
        <w:t>融资服务</w:t>
      </w:r>
      <w:r>
        <w:rPr>
          <w:rFonts w:ascii="Times New Roman" w:hAnsi="Times New Roman" w:hint="eastAsia"/>
          <w:szCs w:val="32"/>
        </w:rPr>
        <w:t>。</w:t>
      </w:r>
      <w:r>
        <w:rPr>
          <w:rFonts w:ascii="Times New Roman" w:hAnsi="Times New Roman" w:hint="eastAsia"/>
          <w:b/>
          <w:bCs/>
          <w:szCs w:val="32"/>
        </w:rPr>
        <w:t>建立统一领导、分工负责、协同高效的工作推进机制，</w:t>
      </w:r>
      <w:r>
        <w:rPr>
          <w:rFonts w:ascii="Times New Roman" w:hAnsi="Times New Roman" w:hint="eastAsia"/>
          <w:szCs w:val="32"/>
        </w:rPr>
        <w:t>明确各部门在产业发展中的职责边界与任务清单，推动各部门同向发力。</w:t>
      </w:r>
      <w:bookmarkEnd w:id="53"/>
      <w:bookmarkEnd w:id="54"/>
      <w:bookmarkEnd w:id="55"/>
      <w:bookmarkEnd w:id="133"/>
    </w:p>
    <w:sectPr w:rsidR="009D15C7">
      <w:footerReference w:type="even" r:id="rId9"/>
      <w:footerReference w:type="default" r:id="rId10"/>
      <w:pgSz w:w="11906" w:h="16838"/>
      <w:pgMar w:top="1701" w:right="1701" w:bottom="1701" w:left="1701" w:header="851" w:footer="992" w:gutter="0"/>
      <w:pgNumType w:start="1"/>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BBD" w:rsidRDefault="008E6BBD">
      <w:pPr>
        <w:spacing w:line="240" w:lineRule="auto"/>
      </w:pPr>
      <w:r>
        <w:separator/>
      </w:r>
    </w:p>
  </w:endnote>
  <w:endnote w:type="continuationSeparator" w:id="0">
    <w:p w:rsidR="008E6BBD" w:rsidRDefault="008E6B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default"/>
    <w:sig w:usb0="00000000" w:usb1="00000000"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altName w:val="Arial Unicode MS"/>
    <w:charset w:val="86"/>
    <w:family w:val="auto"/>
    <w:pitch w:val="default"/>
    <w:sig w:usb0="00000000" w:usb1="00000000" w:usb2="00000016" w:usb3="00000000" w:csb0="0004000F" w:csb1="00000000"/>
  </w:font>
  <w:font w:name="方正小标宋_GBK">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charset w:val="86"/>
    <w:family w:val="auto"/>
    <w:pitch w:val="default"/>
    <w:sig w:usb0="00000000" w:usb1="00000000" w:usb2="00000012"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浠垮畫_GB2312">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5C7" w:rsidRDefault="00AA49B3">
    <w:pPr>
      <w:pStyle w:val="a8"/>
    </w:pPr>
    <w:r>
      <w:rPr>
        <w:noProof/>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D15C7" w:rsidRDefault="00AA49B3">
                          <w:pPr>
                            <w:pStyle w:val="a8"/>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774E0">
                            <w:rPr>
                              <w:rFonts w:ascii="宋体" w:eastAsia="宋体" w:hAnsi="宋体" w:cs="宋体"/>
                              <w:noProof/>
                              <w:sz w:val="28"/>
                              <w:szCs w:val="28"/>
                            </w:rPr>
                            <w:t>6</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9D15C7" w:rsidRDefault="00AA49B3">
                    <w:pPr>
                      <w:pStyle w:val="a8"/>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774E0">
                      <w:rPr>
                        <w:rFonts w:ascii="宋体" w:eastAsia="宋体" w:hAnsi="宋体" w:cs="宋体"/>
                        <w:noProof/>
                        <w:sz w:val="28"/>
                        <w:szCs w:val="28"/>
                      </w:rPr>
                      <w:t>6</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v:textbox>
              <w10:wrap anchorx="margin"/>
            </v:shape>
          </w:pict>
        </mc:Fallback>
      </mc:AlternateContent>
    </w:r>
  </w:p>
  <w:p w:rsidR="009D15C7" w:rsidRDefault="009D15C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5C7" w:rsidRDefault="00AA49B3">
    <w:pPr>
      <w:pStyle w:val="a8"/>
      <w:jc w:val="right"/>
    </w:pPr>
    <w:r>
      <w:rPr>
        <w:noProof/>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D15C7" w:rsidRDefault="00AA49B3">
                          <w:pPr>
                            <w:pStyle w:val="a8"/>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774E0">
                            <w:rPr>
                              <w:rFonts w:ascii="宋体" w:eastAsia="宋体" w:hAnsi="宋体" w:cs="宋体"/>
                              <w:noProof/>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yVpI2MCAAARBQAADgAAAAAAAAAAAAAAAAAuAgAAZHJzL2Uyb0RvYy54&#10;bWxQSwECLQAUAAYACAAAACEAcarRudcAAAAFAQAADwAAAAAAAAAAAAAAAAC9BAAAZHJzL2Rvd25y&#10;ZXYueG1sUEsFBgAAAAAEAAQA8wAAAMEFAAAAAA==&#10;" filled="f" stroked="f" strokeweight=".5pt">
              <v:textbox style="mso-fit-shape-to-text:t" inset="0,0,0,0">
                <w:txbxContent>
                  <w:p w:rsidR="009D15C7" w:rsidRDefault="00AA49B3">
                    <w:pPr>
                      <w:pStyle w:val="a8"/>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774E0">
                      <w:rPr>
                        <w:rFonts w:ascii="宋体" w:eastAsia="宋体" w:hAnsi="宋体" w:cs="宋体"/>
                        <w:noProof/>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v:textbox>
              <w10:wrap anchorx="margin"/>
            </v:shape>
          </w:pict>
        </mc:Fallback>
      </mc:AlternateContent>
    </w:r>
  </w:p>
  <w:p w:rsidR="009D15C7" w:rsidRDefault="009D15C7">
    <w:pPr>
      <w:pStyle w:val="a8"/>
      <w:jc w:val="center"/>
      <w:rPr>
        <w:rFonts w:ascii="Times New Roman" w:hAnsi="Times New Roman" w:cs="Times New Roman"/>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BBD" w:rsidRDefault="008E6BBD">
      <w:pPr>
        <w:spacing w:line="240" w:lineRule="auto"/>
      </w:pPr>
      <w:r>
        <w:separator/>
      </w:r>
    </w:p>
  </w:footnote>
  <w:footnote w:type="continuationSeparator" w:id="0">
    <w:p w:rsidR="008E6BBD" w:rsidRDefault="008E6B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evenAndOddHeaders/>
  <w:drawingGridHorizontalSpacing w:val="11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AEF2AC66"/>
    <w:rsid w:val="AFDD4005"/>
    <w:rsid w:val="B39EA238"/>
    <w:rsid w:val="B45FBE77"/>
    <w:rsid w:val="B48F6896"/>
    <w:rsid w:val="B4BFA186"/>
    <w:rsid w:val="B6FAEBDF"/>
    <w:rsid w:val="B7FB59E2"/>
    <w:rsid w:val="B8FED4E5"/>
    <w:rsid w:val="BB3B9302"/>
    <w:rsid w:val="BB7F6D87"/>
    <w:rsid w:val="BBAD25AB"/>
    <w:rsid w:val="BBFF8E9A"/>
    <w:rsid w:val="BCEF2095"/>
    <w:rsid w:val="BD3E5E41"/>
    <w:rsid w:val="BD7EDABE"/>
    <w:rsid w:val="BDFD740B"/>
    <w:rsid w:val="BEDF25DE"/>
    <w:rsid w:val="BF65137C"/>
    <w:rsid w:val="BF654E9B"/>
    <w:rsid w:val="BFED508F"/>
    <w:rsid w:val="BFF7DC59"/>
    <w:rsid w:val="BFFD62E8"/>
    <w:rsid w:val="C4E8B961"/>
    <w:rsid w:val="C5FF7585"/>
    <w:rsid w:val="C71D094D"/>
    <w:rsid w:val="C7FB8C2B"/>
    <w:rsid w:val="CBF1EF0D"/>
    <w:rsid w:val="CF7DEB0A"/>
    <w:rsid w:val="CF9B8770"/>
    <w:rsid w:val="CFFF2131"/>
    <w:rsid w:val="D6A75F08"/>
    <w:rsid w:val="D6BE6A5A"/>
    <w:rsid w:val="D7EF8838"/>
    <w:rsid w:val="D9ED9ADA"/>
    <w:rsid w:val="DBBB8F83"/>
    <w:rsid w:val="DD9F03AE"/>
    <w:rsid w:val="DEBFF81A"/>
    <w:rsid w:val="DEEF5FF7"/>
    <w:rsid w:val="DF5E327B"/>
    <w:rsid w:val="DF7F4D82"/>
    <w:rsid w:val="DF7FDA44"/>
    <w:rsid w:val="DFFEA7C3"/>
    <w:rsid w:val="DFFFC158"/>
    <w:rsid w:val="E3FC0F18"/>
    <w:rsid w:val="E6D5C608"/>
    <w:rsid w:val="E9EFA998"/>
    <w:rsid w:val="EBBE6261"/>
    <w:rsid w:val="EBDDABCF"/>
    <w:rsid w:val="ECE5DE17"/>
    <w:rsid w:val="EDDF4558"/>
    <w:rsid w:val="EE2BA384"/>
    <w:rsid w:val="EE97C19C"/>
    <w:rsid w:val="EF3B5D50"/>
    <w:rsid w:val="EFCB682F"/>
    <w:rsid w:val="EFDF0E04"/>
    <w:rsid w:val="EFF394B3"/>
    <w:rsid w:val="EFFDD030"/>
    <w:rsid w:val="EFFFB312"/>
    <w:rsid w:val="F27C0443"/>
    <w:rsid w:val="F2AF11FA"/>
    <w:rsid w:val="F2EECD9D"/>
    <w:rsid w:val="F33F4A7B"/>
    <w:rsid w:val="F3EBD614"/>
    <w:rsid w:val="F5F96E72"/>
    <w:rsid w:val="F66584C6"/>
    <w:rsid w:val="F6FF4C5C"/>
    <w:rsid w:val="F76E09E1"/>
    <w:rsid w:val="F7777A86"/>
    <w:rsid w:val="F7AFE6BC"/>
    <w:rsid w:val="F7BEDF86"/>
    <w:rsid w:val="F7FD4E10"/>
    <w:rsid w:val="F8DFFB59"/>
    <w:rsid w:val="F9F247CD"/>
    <w:rsid w:val="FAFA400F"/>
    <w:rsid w:val="FB53675A"/>
    <w:rsid w:val="FB7E25A9"/>
    <w:rsid w:val="FB7F1751"/>
    <w:rsid w:val="FBA7E647"/>
    <w:rsid w:val="FBADA565"/>
    <w:rsid w:val="FBDDABEC"/>
    <w:rsid w:val="FBEE81BC"/>
    <w:rsid w:val="FBF7378A"/>
    <w:rsid w:val="FBFFFE04"/>
    <w:rsid w:val="FC7F2140"/>
    <w:rsid w:val="FC9F4C45"/>
    <w:rsid w:val="FCFF7479"/>
    <w:rsid w:val="FD3D8226"/>
    <w:rsid w:val="FD79BB08"/>
    <w:rsid w:val="FDBE3E87"/>
    <w:rsid w:val="FDCBD3AB"/>
    <w:rsid w:val="FDEFB840"/>
    <w:rsid w:val="FE3753B7"/>
    <w:rsid w:val="FE3E6F41"/>
    <w:rsid w:val="FE8A400C"/>
    <w:rsid w:val="FE9DC4E6"/>
    <w:rsid w:val="FEBC22FE"/>
    <w:rsid w:val="FEE7535E"/>
    <w:rsid w:val="FEEEFD8A"/>
    <w:rsid w:val="FEFE5C81"/>
    <w:rsid w:val="FEFEEC22"/>
    <w:rsid w:val="FEFF2E27"/>
    <w:rsid w:val="FF4DFA81"/>
    <w:rsid w:val="FF671BF0"/>
    <w:rsid w:val="FF746A9A"/>
    <w:rsid w:val="FF76190F"/>
    <w:rsid w:val="FF7DE150"/>
    <w:rsid w:val="FF9F14BB"/>
    <w:rsid w:val="FFB79C95"/>
    <w:rsid w:val="FFBBC51D"/>
    <w:rsid w:val="FFBFE409"/>
    <w:rsid w:val="FFBFEE40"/>
    <w:rsid w:val="FFD7A3AA"/>
    <w:rsid w:val="FFDF5E79"/>
    <w:rsid w:val="FFDFE059"/>
    <w:rsid w:val="FFE3AB76"/>
    <w:rsid w:val="FFEE36A0"/>
    <w:rsid w:val="FFEEF960"/>
    <w:rsid w:val="FFEF44C4"/>
    <w:rsid w:val="FFEFA331"/>
    <w:rsid w:val="FFEFB472"/>
    <w:rsid w:val="FFF2C2A7"/>
    <w:rsid w:val="FFF618EE"/>
    <w:rsid w:val="FFF755E1"/>
    <w:rsid w:val="FFF784C6"/>
    <w:rsid w:val="FFFAC21F"/>
    <w:rsid w:val="FFFB39EF"/>
    <w:rsid w:val="FFFCD2C0"/>
    <w:rsid w:val="FFFF1AB2"/>
    <w:rsid w:val="0000741D"/>
    <w:rsid w:val="00021083"/>
    <w:rsid w:val="00025EAF"/>
    <w:rsid w:val="0003040E"/>
    <w:rsid w:val="00030FC0"/>
    <w:rsid w:val="000351E2"/>
    <w:rsid w:val="0004680A"/>
    <w:rsid w:val="000501A8"/>
    <w:rsid w:val="000525AD"/>
    <w:rsid w:val="00053893"/>
    <w:rsid w:val="00053FB5"/>
    <w:rsid w:val="00054024"/>
    <w:rsid w:val="00055B1D"/>
    <w:rsid w:val="000615B5"/>
    <w:rsid w:val="000649BD"/>
    <w:rsid w:val="00065444"/>
    <w:rsid w:val="00081910"/>
    <w:rsid w:val="00082830"/>
    <w:rsid w:val="00087BD5"/>
    <w:rsid w:val="00092305"/>
    <w:rsid w:val="000A1C99"/>
    <w:rsid w:val="000A4627"/>
    <w:rsid w:val="000A55A9"/>
    <w:rsid w:val="000A73FE"/>
    <w:rsid w:val="000B129D"/>
    <w:rsid w:val="000B7D92"/>
    <w:rsid w:val="000E25BA"/>
    <w:rsid w:val="000E44F6"/>
    <w:rsid w:val="000E6407"/>
    <w:rsid w:val="000E7C01"/>
    <w:rsid w:val="000F06E7"/>
    <w:rsid w:val="000F2EB4"/>
    <w:rsid w:val="000F7755"/>
    <w:rsid w:val="00105D80"/>
    <w:rsid w:val="001207F2"/>
    <w:rsid w:val="001222A1"/>
    <w:rsid w:val="00123A9A"/>
    <w:rsid w:val="00127D31"/>
    <w:rsid w:val="0013027D"/>
    <w:rsid w:val="00131879"/>
    <w:rsid w:val="001421C7"/>
    <w:rsid w:val="00155F0E"/>
    <w:rsid w:val="00156287"/>
    <w:rsid w:val="001629E8"/>
    <w:rsid w:val="00171465"/>
    <w:rsid w:val="00172A27"/>
    <w:rsid w:val="00174A56"/>
    <w:rsid w:val="0018287C"/>
    <w:rsid w:val="001835BF"/>
    <w:rsid w:val="00183C11"/>
    <w:rsid w:val="00185E38"/>
    <w:rsid w:val="00187CED"/>
    <w:rsid w:val="001A2230"/>
    <w:rsid w:val="001A632C"/>
    <w:rsid w:val="001A76F7"/>
    <w:rsid w:val="001B3B06"/>
    <w:rsid w:val="001B4F0D"/>
    <w:rsid w:val="001B57BE"/>
    <w:rsid w:val="001B60B5"/>
    <w:rsid w:val="001B6F17"/>
    <w:rsid w:val="001C032C"/>
    <w:rsid w:val="001C559F"/>
    <w:rsid w:val="001D609D"/>
    <w:rsid w:val="001E5182"/>
    <w:rsid w:val="001F51A8"/>
    <w:rsid w:val="00204DF3"/>
    <w:rsid w:val="002057EF"/>
    <w:rsid w:val="002076A2"/>
    <w:rsid w:val="00226E52"/>
    <w:rsid w:val="00231D7B"/>
    <w:rsid w:val="002454F6"/>
    <w:rsid w:val="0024610E"/>
    <w:rsid w:val="00254A08"/>
    <w:rsid w:val="00275B97"/>
    <w:rsid w:val="0028683A"/>
    <w:rsid w:val="002A7095"/>
    <w:rsid w:val="002B1C3E"/>
    <w:rsid w:val="002B277E"/>
    <w:rsid w:val="002B2979"/>
    <w:rsid w:val="002B4B91"/>
    <w:rsid w:val="002D6B87"/>
    <w:rsid w:val="002D7A8A"/>
    <w:rsid w:val="002F0364"/>
    <w:rsid w:val="002F1D13"/>
    <w:rsid w:val="002F1FE4"/>
    <w:rsid w:val="002F7730"/>
    <w:rsid w:val="00300671"/>
    <w:rsid w:val="0030481E"/>
    <w:rsid w:val="00304D4E"/>
    <w:rsid w:val="00315FF9"/>
    <w:rsid w:val="003170C2"/>
    <w:rsid w:val="00327FB8"/>
    <w:rsid w:val="00330A89"/>
    <w:rsid w:val="00330E9F"/>
    <w:rsid w:val="00336BDF"/>
    <w:rsid w:val="0033732A"/>
    <w:rsid w:val="00340D55"/>
    <w:rsid w:val="0034737B"/>
    <w:rsid w:val="00350646"/>
    <w:rsid w:val="00353FBB"/>
    <w:rsid w:val="0035613A"/>
    <w:rsid w:val="003571C8"/>
    <w:rsid w:val="00364BAC"/>
    <w:rsid w:val="00366C6F"/>
    <w:rsid w:val="00366E21"/>
    <w:rsid w:val="003808D8"/>
    <w:rsid w:val="003851F5"/>
    <w:rsid w:val="0039218A"/>
    <w:rsid w:val="00392BB0"/>
    <w:rsid w:val="00395D7A"/>
    <w:rsid w:val="003A17B7"/>
    <w:rsid w:val="003A33E4"/>
    <w:rsid w:val="003A5AFF"/>
    <w:rsid w:val="003B1360"/>
    <w:rsid w:val="003B2D15"/>
    <w:rsid w:val="003B4025"/>
    <w:rsid w:val="003B5BDA"/>
    <w:rsid w:val="003C1CEF"/>
    <w:rsid w:val="003C28DE"/>
    <w:rsid w:val="003C2F8B"/>
    <w:rsid w:val="003D055F"/>
    <w:rsid w:val="003D2DD5"/>
    <w:rsid w:val="003D5BE9"/>
    <w:rsid w:val="003F3688"/>
    <w:rsid w:val="0040623B"/>
    <w:rsid w:val="00406652"/>
    <w:rsid w:val="00415688"/>
    <w:rsid w:val="00427A64"/>
    <w:rsid w:val="00436086"/>
    <w:rsid w:val="004630B2"/>
    <w:rsid w:val="00466A69"/>
    <w:rsid w:val="00496F3C"/>
    <w:rsid w:val="004B3BDC"/>
    <w:rsid w:val="004B48D6"/>
    <w:rsid w:val="004B6980"/>
    <w:rsid w:val="004C0194"/>
    <w:rsid w:val="004C377B"/>
    <w:rsid w:val="004C51F7"/>
    <w:rsid w:val="004C631E"/>
    <w:rsid w:val="004C6C48"/>
    <w:rsid w:val="004C6CA9"/>
    <w:rsid w:val="004E4AFC"/>
    <w:rsid w:val="004E6334"/>
    <w:rsid w:val="004F4C81"/>
    <w:rsid w:val="004F54F7"/>
    <w:rsid w:val="00501ED8"/>
    <w:rsid w:val="00506392"/>
    <w:rsid w:val="005143D4"/>
    <w:rsid w:val="00520723"/>
    <w:rsid w:val="005208FF"/>
    <w:rsid w:val="005323F8"/>
    <w:rsid w:val="00534247"/>
    <w:rsid w:val="00535ED9"/>
    <w:rsid w:val="0053631D"/>
    <w:rsid w:val="0054237B"/>
    <w:rsid w:val="00543F85"/>
    <w:rsid w:val="00546BA0"/>
    <w:rsid w:val="005503A8"/>
    <w:rsid w:val="00551DE1"/>
    <w:rsid w:val="00554F8F"/>
    <w:rsid w:val="005563CA"/>
    <w:rsid w:val="005671A1"/>
    <w:rsid w:val="00570DF5"/>
    <w:rsid w:val="005724C1"/>
    <w:rsid w:val="00572669"/>
    <w:rsid w:val="00576AE8"/>
    <w:rsid w:val="00582780"/>
    <w:rsid w:val="005831E5"/>
    <w:rsid w:val="005852C9"/>
    <w:rsid w:val="00595AAA"/>
    <w:rsid w:val="005A3CEF"/>
    <w:rsid w:val="005A44F0"/>
    <w:rsid w:val="005B3149"/>
    <w:rsid w:val="005B3922"/>
    <w:rsid w:val="005B433A"/>
    <w:rsid w:val="005B4590"/>
    <w:rsid w:val="005B5318"/>
    <w:rsid w:val="005C3013"/>
    <w:rsid w:val="005D2921"/>
    <w:rsid w:val="005D59B9"/>
    <w:rsid w:val="005E546E"/>
    <w:rsid w:val="005F1548"/>
    <w:rsid w:val="00606A0C"/>
    <w:rsid w:val="00606E06"/>
    <w:rsid w:val="00606F71"/>
    <w:rsid w:val="00612B00"/>
    <w:rsid w:val="00615A7E"/>
    <w:rsid w:val="00616991"/>
    <w:rsid w:val="00624261"/>
    <w:rsid w:val="0062525D"/>
    <w:rsid w:val="0062732E"/>
    <w:rsid w:val="0063250D"/>
    <w:rsid w:val="0063501B"/>
    <w:rsid w:val="006429C4"/>
    <w:rsid w:val="00651621"/>
    <w:rsid w:val="006551F2"/>
    <w:rsid w:val="00655326"/>
    <w:rsid w:val="006608DB"/>
    <w:rsid w:val="006720F5"/>
    <w:rsid w:val="00672967"/>
    <w:rsid w:val="00676D5E"/>
    <w:rsid w:val="00676D79"/>
    <w:rsid w:val="006809B5"/>
    <w:rsid w:val="0068263E"/>
    <w:rsid w:val="006912A0"/>
    <w:rsid w:val="00691FFF"/>
    <w:rsid w:val="0069385C"/>
    <w:rsid w:val="0069608C"/>
    <w:rsid w:val="0069799C"/>
    <w:rsid w:val="006A1921"/>
    <w:rsid w:val="006A2DF1"/>
    <w:rsid w:val="006A30C1"/>
    <w:rsid w:val="006A575C"/>
    <w:rsid w:val="006A7B5C"/>
    <w:rsid w:val="006B2582"/>
    <w:rsid w:val="006B396D"/>
    <w:rsid w:val="006B5D05"/>
    <w:rsid w:val="006C3969"/>
    <w:rsid w:val="006C49CE"/>
    <w:rsid w:val="006C4BC0"/>
    <w:rsid w:val="006C618D"/>
    <w:rsid w:val="006D767B"/>
    <w:rsid w:val="006D7918"/>
    <w:rsid w:val="006F0A79"/>
    <w:rsid w:val="007009C7"/>
    <w:rsid w:val="007033BE"/>
    <w:rsid w:val="00720A27"/>
    <w:rsid w:val="007223D5"/>
    <w:rsid w:val="00734E13"/>
    <w:rsid w:val="00737438"/>
    <w:rsid w:val="007416E4"/>
    <w:rsid w:val="007520C2"/>
    <w:rsid w:val="00754728"/>
    <w:rsid w:val="0076057A"/>
    <w:rsid w:val="0076057C"/>
    <w:rsid w:val="00762688"/>
    <w:rsid w:val="00765B8B"/>
    <w:rsid w:val="00766F42"/>
    <w:rsid w:val="007774E0"/>
    <w:rsid w:val="00781E9F"/>
    <w:rsid w:val="00782A6C"/>
    <w:rsid w:val="00783457"/>
    <w:rsid w:val="00785917"/>
    <w:rsid w:val="007906E0"/>
    <w:rsid w:val="00795CE1"/>
    <w:rsid w:val="007A256B"/>
    <w:rsid w:val="007A5211"/>
    <w:rsid w:val="007B0B0F"/>
    <w:rsid w:val="007B2B3D"/>
    <w:rsid w:val="007B3E9B"/>
    <w:rsid w:val="007C792A"/>
    <w:rsid w:val="007C7DDF"/>
    <w:rsid w:val="007E0B0A"/>
    <w:rsid w:val="007E4E6B"/>
    <w:rsid w:val="007F40B4"/>
    <w:rsid w:val="0081502B"/>
    <w:rsid w:val="0084170F"/>
    <w:rsid w:val="0084460A"/>
    <w:rsid w:val="00851ABD"/>
    <w:rsid w:val="00860CA0"/>
    <w:rsid w:val="00864B3A"/>
    <w:rsid w:val="008715AE"/>
    <w:rsid w:val="008737FC"/>
    <w:rsid w:val="00875670"/>
    <w:rsid w:val="00880CDD"/>
    <w:rsid w:val="00883CC6"/>
    <w:rsid w:val="00885017"/>
    <w:rsid w:val="00887D32"/>
    <w:rsid w:val="00890953"/>
    <w:rsid w:val="008969F4"/>
    <w:rsid w:val="008A1250"/>
    <w:rsid w:val="008A2786"/>
    <w:rsid w:val="008A304C"/>
    <w:rsid w:val="008A7C0B"/>
    <w:rsid w:val="008B2756"/>
    <w:rsid w:val="008B597B"/>
    <w:rsid w:val="008D4ABF"/>
    <w:rsid w:val="008D7470"/>
    <w:rsid w:val="008E1629"/>
    <w:rsid w:val="008E3EAE"/>
    <w:rsid w:val="008E4383"/>
    <w:rsid w:val="008E69B6"/>
    <w:rsid w:val="008E6BBD"/>
    <w:rsid w:val="008F30B6"/>
    <w:rsid w:val="008F36F0"/>
    <w:rsid w:val="008F6A56"/>
    <w:rsid w:val="008F7035"/>
    <w:rsid w:val="00901731"/>
    <w:rsid w:val="00907D1E"/>
    <w:rsid w:val="009138CF"/>
    <w:rsid w:val="0092204F"/>
    <w:rsid w:val="0092240B"/>
    <w:rsid w:val="009237BF"/>
    <w:rsid w:val="00926E8C"/>
    <w:rsid w:val="00932963"/>
    <w:rsid w:val="009359BE"/>
    <w:rsid w:val="00936385"/>
    <w:rsid w:val="009402BB"/>
    <w:rsid w:val="00941156"/>
    <w:rsid w:val="009562A9"/>
    <w:rsid w:val="009676FA"/>
    <w:rsid w:val="00977B14"/>
    <w:rsid w:val="009802FA"/>
    <w:rsid w:val="00982720"/>
    <w:rsid w:val="00993394"/>
    <w:rsid w:val="00993A0A"/>
    <w:rsid w:val="009A3F4C"/>
    <w:rsid w:val="009B26CF"/>
    <w:rsid w:val="009B44AF"/>
    <w:rsid w:val="009D15C7"/>
    <w:rsid w:val="009E26C3"/>
    <w:rsid w:val="009E70D2"/>
    <w:rsid w:val="009E77CA"/>
    <w:rsid w:val="009F0E37"/>
    <w:rsid w:val="009F6C4B"/>
    <w:rsid w:val="00A014AB"/>
    <w:rsid w:val="00A0167D"/>
    <w:rsid w:val="00A05936"/>
    <w:rsid w:val="00A06941"/>
    <w:rsid w:val="00A15304"/>
    <w:rsid w:val="00A16304"/>
    <w:rsid w:val="00A16F20"/>
    <w:rsid w:val="00A20784"/>
    <w:rsid w:val="00A2228F"/>
    <w:rsid w:val="00A26F9B"/>
    <w:rsid w:val="00A32549"/>
    <w:rsid w:val="00A328D6"/>
    <w:rsid w:val="00A341F2"/>
    <w:rsid w:val="00A36F62"/>
    <w:rsid w:val="00A375DB"/>
    <w:rsid w:val="00A455AD"/>
    <w:rsid w:val="00A541D7"/>
    <w:rsid w:val="00A64749"/>
    <w:rsid w:val="00A65867"/>
    <w:rsid w:val="00A671AD"/>
    <w:rsid w:val="00A71311"/>
    <w:rsid w:val="00A7530B"/>
    <w:rsid w:val="00A774A8"/>
    <w:rsid w:val="00A77EDC"/>
    <w:rsid w:val="00A81D22"/>
    <w:rsid w:val="00A83D10"/>
    <w:rsid w:val="00A84701"/>
    <w:rsid w:val="00A914CD"/>
    <w:rsid w:val="00A97775"/>
    <w:rsid w:val="00AA09B5"/>
    <w:rsid w:val="00AA3679"/>
    <w:rsid w:val="00AA49B3"/>
    <w:rsid w:val="00AA655F"/>
    <w:rsid w:val="00AA7117"/>
    <w:rsid w:val="00AB09C9"/>
    <w:rsid w:val="00AB5A1D"/>
    <w:rsid w:val="00AC5F77"/>
    <w:rsid w:val="00AC6085"/>
    <w:rsid w:val="00AD0B65"/>
    <w:rsid w:val="00AE3A43"/>
    <w:rsid w:val="00AE4BB2"/>
    <w:rsid w:val="00AF25DA"/>
    <w:rsid w:val="00B06224"/>
    <w:rsid w:val="00B15457"/>
    <w:rsid w:val="00B22A65"/>
    <w:rsid w:val="00B33277"/>
    <w:rsid w:val="00B35E63"/>
    <w:rsid w:val="00B4084E"/>
    <w:rsid w:val="00B410FE"/>
    <w:rsid w:val="00B4127B"/>
    <w:rsid w:val="00B412FB"/>
    <w:rsid w:val="00B41373"/>
    <w:rsid w:val="00B50D34"/>
    <w:rsid w:val="00B5119A"/>
    <w:rsid w:val="00B55093"/>
    <w:rsid w:val="00B639EC"/>
    <w:rsid w:val="00B67385"/>
    <w:rsid w:val="00B67706"/>
    <w:rsid w:val="00B7647F"/>
    <w:rsid w:val="00B83958"/>
    <w:rsid w:val="00B845F7"/>
    <w:rsid w:val="00BA08DD"/>
    <w:rsid w:val="00BA32B7"/>
    <w:rsid w:val="00BA5CB2"/>
    <w:rsid w:val="00BA5D2B"/>
    <w:rsid w:val="00BA754C"/>
    <w:rsid w:val="00BB2B96"/>
    <w:rsid w:val="00BB6A3F"/>
    <w:rsid w:val="00BD6157"/>
    <w:rsid w:val="00BE0272"/>
    <w:rsid w:val="00BE2EEB"/>
    <w:rsid w:val="00BE4D0C"/>
    <w:rsid w:val="00BE4FC1"/>
    <w:rsid w:val="00BE64AC"/>
    <w:rsid w:val="00BE776F"/>
    <w:rsid w:val="00BF03E2"/>
    <w:rsid w:val="00BF1697"/>
    <w:rsid w:val="00BF3265"/>
    <w:rsid w:val="00BF5942"/>
    <w:rsid w:val="00C001A3"/>
    <w:rsid w:val="00C0459D"/>
    <w:rsid w:val="00C25F33"/>
    <w:rsid w:val="00C30909"/>
    <w:rsid w:val="00C428F4"/>
    <w:rsid w:val="00C43A46"/>
    <w:rsid w:val="00C4631D"/>
    <w:rsid w:val="00C51852"/>
    <w:rsid w:val="00C51DA0"/>
    <w:rsid w:val="00C55090"/>
    <w:rsid w:val="00C555F6"/>
    <w:rsid w:val="00C60D59"/>
    <w:rsid w:val="00C63CC9"/>
    <w:rsid w:val="00C65DB3"/>
    <w:rsid w:val="00C67B08"/>
    <w:rsid w:val="00C95AEE"/>
    <w:rsid w:val="00C97C55"/>
    <w:rsid w:val="00CA3A13"/>
    <w:rsid w:val="00CB33E5"/>
    <w:rsid w:val="00CC55E1"/>
    <w:rsid w:val="00CC6CDB"/>
    <w:rsid w:val="00CC763A"/>
    <w:rsid w:val="00CD6D01"/>
    <w:rsid w:val="00CF315B"/>
    <w:rsid w:val="00CF5A7B"/>
    <w:rsid w:val="00CF6613"/>
    <w:rsid w:val="00CF784C"/>
    <w:rsid w:val="00D05051"/>
    <w:rsid w:val="00D135AA"/>
    <w:rsid w:val="00D16721"/>
    <w:rsid w:val="00D2734B"/>
    <w:rsid w:val="00D32B69"/>
    <w:rsid w:val="00D379FD"/>
    <w:rsid w:val="00D5193F"/>
    <w:rsid w:val="00D64797"/>
    <w:rsid w:val="00D8415B"/>
    <w:rsid w:val="00D84730"/>
    <w:rsid w:val="00D9014E"/>
    <w:rsid w:val="00D9150E"/>
    <w:rsid w:val="00DB1785"/>
    <w:rsid w:val="00DB28D9"/>
    <w:rsid w:val="00DB5805"/>
    <w:rsid w:val="00DB6104"/>
    <w:rsid w:val="00DC467B"/>
    <w:rsid w:val="00DD2B8A"/>
    <w:rsid w:val="00DD33E1"/>
    <w:rsid w:val="00DD36E7"/>
    <w:rsid w:val="00DD6968"/>
    <w:rsid w:val="00DE02F2"/>
    <w:rsid w:val="00DF38B1"/>
    <w:rsid w:val="00DF6ECB"/>
    <w:rsid w:val="00DF716B"/>
    <w:rsid w:val="00E00536"/>
    <w:rsid w:val="00E0168F"/>
    <w:rsid w:val="00E0250C"/>
    <w:rsid w:val="00E06A6D"/>
    <w:rsid w:val="00E10BED"/>
    <w:rsid w:val="00E14B60"/>
    <w:rsid w:val="00E220E0"/>
    <w:rsid w:val="00E23094"/>
    <w:rsid w:val="00E401D6"/>
    <w:rsid w:val="00E44AE5"/>
    <w:rsid w:val="00E55E3B"/>
    <w:rsid w:val="00E61E2A"/>
    <w:rsid w:val="00E67C23"/>
    <w:rsid w:val="00E7601B"/>
    <w:rsid w:val="00E82328"/>
    <w:rsid w:val="00E832CD"/>
    <w:rsid w:val="00E846E3"/>
    <w:rsid w:val="00E95F41"/>
    <w:rsid w:val="00EA1DE8"/>
    <w:rsid w:val="00EB50F9"/>
    <w:rsid w:val="00EB619A"/>
    <w:rsid w:val="00EC0AAF"/>
    <w:rsid w:val="00EC0FEA"/>
    <w:rsid w:val="00EC1B1B"/>
    <w:rsid w:val="00EC44B9"/>
    <w:rsid w:val="00EC57DA"/>
    <w:rsid w:val="00EC6BDA"/>
    <w:rsid w:val="00EC7AA8"/>
    <w:rsid w:val="00ED49AF"/>
    <w:rsid w:val="00EE0A67"/>
    <w:rsid w:val="00EF4D9A"/>
    <w:rsid w:val="00EF50A3"/>
    <w:rsid w:val="00EF7956"/>
    <w:rsid w:val="00F00483"/>
    <w:rsid w:val="00F15C17"/>
    <w:rsid w:val="00F23A91"/>
    <w:rsid w:val="00F27549"/>
    <w:rsid w:val="00F339B2"/>
    <w:rsid w:val="00F42F23"/>
    <w:rsid w:val="00F514B3"/>
    <w:rsid w:val="00F54931"/>
    <w:rsid w:val="00F56801"/>
    <w:rsid w:val="00F60909"/>
    <w:rsid w:val="00F62583"/>
    <w:rsid w:val="00F6607A"/>
    <w:rsid w:val="00F670FA"/>
    <w:rsid w:val="00F73A3F"/>
    <w:rsid w:val="00FA232B"/>
    <w:rsid w:val="00FA5097"/>
    <w:rsid w:val="00FA68E1"/>
    <w:rsid w:val="00FB14AC"/>
    <w:rsid w:val="00FB2129"/>
    <w:rsid w:val="00FC2831"/>
    <w:rsid w:val="00FC3A21"/>
    <w:rsid w:val="00FC6683"/>
    <w:rsid w:val="00FD1052"/>
    <w:rsid w:val="00FD3534"/>
    <w:rsid w:val="00FD3679"/>
    <w:rsid w:val="00FE5164"/>
    <w:rsid w:val="00FE629D"/>
    <w:rsid w:val="00FF0179"/>
    <w:rsid w:val="00FF71FF"/>
    <w:rsid w:val="01233A9E"/>
    <w:rsid w:val="01256EF0"/>
    <w:rsid w:val="01626D3E"/>
    <w:rsid w:val="01933707"/>
    <w:rsid w:val="01A52CC1"/>
    <w:rsid w:val="01A83C46"/>
    <w:rsid w:val="01AA7149"/>
    <w:rsid w:val="01D34B7C"/>
    <w:rsid w:val="01E76FAE"/>
    <w:rsid w:val="01EE7C08"/>
    <w:rsid w:val="01F81447"/>
    <w:rsid w:val="01FD5174"/>
    <w:rsid w:val="0212507F"/>
    <w:rsid w:val="02313F99"/>
    <w:rsid w:val="02533F0F"/>
    <w:rsid w:val="02721692"/>
    <w:rsid w:val="027D6939"/>
    <w:rsid w:val="027D6999"/>
    <w:rsid w:val="028A4111"/>
    <w:rsid w:val="02936A01"/>
    <w:rsid w:val="029F0FA8"/>
    <w:rsid w:val="02A8425B"/>
    <w:rsid w:val="02BC7D06"/>
    <w:rsid w:val="02DC6144"/>
    <w:rsid w:val="02E170D4"/>
    <w:rsid w:val="02F456F2"/>
    <w:rsid w:val="02FB2FDC"/>
    <w:rsid w:val="02FD6F28"/>
    <w:rsid w:val="03044287"/>
    <w:rsid w:val="03604E2C"/>
    <w:rsid w:val="037C1244"/>
    <w:rsid w:val="038D2B62"/>
    <w:rsid w:val="039A294A"/>
    <w:rsid w:val="03A8118D"/>
    <w:rsid w:val="03C020B7"/>
    <w:rsid w:val="03DA7849"/>
    <w:rsid w:val="041E464F"/>
    <w:rsid w:val="04223749"/>
    <w:rsid w:val="042C6488"/>
    <w:rsid w:val="04357D70"/>
    <w:rsid w:val="04546034"/>
    <w:rsid w:val="04724561"/>
    <w:rsid w:val="047D0B10"/>
    <w:rsid w:val="04A9786D"/>
    <w:rsid w:val="04AB27B5"/>
    <w:rsid w:val="04AB7077"/>
    <w:rsid w:val="04D150A7"/>
    <w:rsid w:val="04DC52CD"/>
    <w:rsid w:val="04EC16B9"/>
    <w:rsid w:val="04FC5D47"/>
    <w:rsid w:val="051931EE"/>
    <w:rsid w:val="05342E93"/>
    <w:rsid w:val="05454470"/>
    <w:rsid w:val="05541EC3"/>
    <w:rsid w:val="05574C2C"/>
    <w:rsid w:val="055E4FDC"/>
    <w:rsid w:val="05633A9B"/>
    <w:rsid w:val="057CDFAD"/>
    <w:rsid w:val="05832619"/>
    <w:rsid w:val="059D1BF9"/>
    <w:rsid w:val="05AC765B"/>
    <w:rsid w:val="05AD3936"/>
    <w:rsid w:val="05B3354A"/>
    <w:rsid w:val="05DC4AB0"/>
    <w:rsid w:val="06007422"/>
    <w:rsid w:val="06366E11"/>
    <w:rsid w:val="065B0A0F"/>
    <w:rsid w:val="067C1D7C"/>
    <w:rsid w:val="06A0572A"/>
    <w:rsid w:val="06A543C2"/>
    <w:rsid w:val="06E73662"/>
    <w:rsid w:val="06FE52BF"/>
    <w:rsid w:val="071F6AB6"/>
    <w:rsid w:val="07255CEE"/>
    <w:rsid w:val="07444988"/>
    <w:rsid w:val="077741FC"/>
    <w:rsid w:val="07805F5A"/>
    <w:rsid w:val="07915EFE"/>
    <w:rsid w:val="079A4FA9"/>
    <w:rsid w:val="07A27433"/>
    <w:rsid w:val="07B42F31"/>
    <w:rsid w:val="07CA0317"/>
    <w:rsid w:val="07E2057E"/>
    <w:rsid w:val="07F76B6C"/>
    <w:rsid w:val="07FC0BA5"/>
    <w:rsid w:val="08265417"/>
    <w:rsid w:val="08337083"/>
    <w:rsid w:val="086D5091"/>
    <w:rsid w:val="087042BB"/>
    <w:rsid w:val="087150EF"/>
    <w:rsid w:val="087B4CAA"/>
    <w:rsid w:val="087D1CE6"/>
    <w:rsid w:val="088D6498"/>
    <w:rsid w:val="08A54D99"/>
    <w:rsid w:val="08B32E54"/>
    <w:rsid w:val="08E745A8"/>
    <w:rsid w:val="08EC7793"/>
    <w:rsid w:val="090441B5"/>
    <w:rsid w:val="0919167A"/>
    <w:rsid w:val="092F6FCD"/>
    <w:rsid w:val="093163DD"/>
    <w:rsid w:val="095A4C5B"/>
    <w:rsid w:val="096864F2"/>
    <w:rsid w:val="09815DE5"/>
    <w:rsid w:val="09817B93"/>
    <w:rsid w:val="09880BAD"/>
    <w:rsid w:val="09A4426F"/>
    <w:rsid w:val="09A82372"/>
    <w:rsid w:val="09B01C47"/>
    <w:rsid w:val="09DE56C3"/>
    <w:rsid w:val="0A17586B"/>
    <w:rsid w:val="0A2964DB"/>
    <w:rsid w:val="0A547251"/>
    <w:rsid w:val="0A5610A6"/>
    <w:rsid w:val="0A5A1998"/>
    <w:rsid w:val="0A7315F2"/>
    <w:rsid w:val="0A775DBC"/>
    <w:rsid w:val="0A980587"/>
    <w:rsid w:val="0AA45B0B"/>
    <w:rsid w:val="0ADD5927"/>
    <w:rsid w:val="0AF87BCB"/>
    <w:rsid w:val="0B0009AC"/>
    <w:rsid w:val="0B07706F"/>
    <w:rsid w:val="0B093D05"/>
    <w:rsid w:val="0B15060E"/>
    <w:rsid w:val="0B204BAA"/>
    <w:rsid w:val="0B39126D"/>
    <w:rsid w:val="0B5362D0"/>
    <w:rsid w:val="0B5C5BE2"/>
    <w:rsid w:val="0B675067"/>
    <w:rsid w:val="0B7E0A60"/>
    <w:rsid w:val="0BB84DE3"/>
    <w:rsid w:val="0BCA33E7"/>
    <w:rsid w:val="0BE976D7"/>
    <w:rsid w:val="0BED35BB"/>
    <w:rsid w:val="0BF26547"/>
    <w:rsid w:val="0C0522DB"/>
    <w:rsid w:val="0C0A29DC"/>
    <w:rsid w:val="0C115541"/>
    <w:rsid w:val="0C1F4542"/>
    <w:rsid w:val="0C205943"/>
    <w:rsid w:val="0C531258"/>
    <w:rsid w:val="0C6939AC"/>
    <w:rsid w:val="0C6E60F3"/>
    <w:rsid w:val="0C770F81"/>
    <w:rsid w:val="0C820A1F"/>
    <w:rsid w:val="0C9E2DE2"/>
    <w:rsid w:val="0CA75583"/>
    <w:rsid w:val="0CAC0711"/>
    <w:rsid w:val="0CB10D1C"/>
    <w:rsid w:val="0CBC03F1"/>
    <w:rsid w:val="0CC2416B"/>
    <w:rsid w:val="0CD43F64"/>
    <w:rsid w:val="0CE75980"/>
    <w:rsid w:val="0CE95B9C"/>
    <w:rsid w:val="0D0D2E02"/>
    <w:rsid w:val="0D2F71CA"/>
    <w:rsid w:val="0D5A0848"/>
    <w:rsid w:val="0D705608"/>
    <w:rsid w:val="0D936234"/>
    <w:rsid w:val="0DA941E4"/>
    <w:rsid w:val="0DAC7E60"/>
    <w:rsid w:val="0DD17656"/>
    <w:rsid w:val="0DD61058"/>
    <w:rsid w:val="0DF42FBC"/>
    <w:rsid w:val="0DF476ED"/>
    <w:rsid w:val="0DFE6F9F"/>
    <w:rsid w:val="0E0A5DCA"/>
    <w:rsid w:val="0E1F52C5"/>
    <w:rsid w:val="0E2E6734"/>
    <w:rsid w:val="0E354D3C"/>
    <w:rsid w:val="0E395743"/>
    <w:rsid w:val="0E552D5E"/>
    <w:rsid w:val="0E833264"/>
    <w:rsid w:val="0E9F40E0"/>
    <w:rsid w:val="0EDC4568"/>
    <w:rsid w:val="0EE96807"/>
    <w:rsid w:val="0EFE1A7C"/>
    <w:rsid w:val="0F0339AB"/>
    <w:rsid w:val="0F2033CB"/>
    <w:rsid w:val="0F296890"/>
    <w:rsid w:val="0F3A261D"/>
    <w:rsid w:val="0F534BB2"/>
    <w:rsid w:val="0F5C5F84"/>
    <w:rsid w:val="0F793042"/>
    <w:rsid w:val="0F7D37F7"/>
    <w:rsid w:val="0F8923E0"/>
    <w:rsid w:val="0F9C5147"/>
    <w:rsid w:val="0FAB3D0E"/>
    <w:rsid w:val="0FBA7DBB"/>
    <w:rsid w:val="0FBD1C81"/>
    <w:rsid w:val="0FFF36A9"/>
    <w:rsid w:val="1022659C"/>
    <w:rsid w:val="108A66C8"/>
    <w:rsid w:val="108E4939"/>
    <w:rsid w:val="11077C7C"/>
    <w:rsid w:val="11541C4B"/>
    <w:rsid w:val="11B157BA"/>
    <w:rsid w:val="11B4024C"/>
    <w:rsid w:val="11BA18B5"/>
    <w:rsid w:val="11DA16D5"/>
    <w:rsid w:val="11DA2BDA"/>
    <w:rsid w:val="11E54EEB"/>
    <w:rsid w:val="11FB0B10"/>
    <w:rsid w:val="121446EA"/>
    <w:rsid w:val="12333415"/>
    <w:rsid w:val="125E1331"/>
    <w:rsid w:val="1276534B"/>
    <w:rsid w:val="12DE5460"/>
    <w:rsid w:val="12E57843"/>
    <w:rsid w:val="13373A70"/>
    <w:rsid w:val="13461AC3"/>
    <w:rsid w:val="134E1672"/>
    <w:rsid w:val="13797FF6"/>
    <w:rsid w:val="13821D51"/>
    <w:rsid w:val="138949F9"/>
    <w:rsid w:val="13A516FB"/>
    <w:rsid w:val="13AE709D"/>
    <w:rsid w:val="13C50F53"/>
    <w:rsid w:val="13CA12CC"/>
    <w:rsid w:val="13D43993"/>
    <w:rsid w:val="141B64AF"/>
    <w:rsid w:val="145002AE"/>
    <w:rsid w:val="1454106E"/>
    <w:rsid w:val="14550167"/>
    <w:rsid w:val="146B1A56"/>
    <w:rsid w:val="1475145D"/>
    <w:rsid w:val="14787A58"/>
    <w:rsid w:val="14974B0F"/>
    <w:rsid w:val="14981ED6"/>
    <w:rsid w:val="14C23CDF"/>
    <w:rsid w:val="14D63D84"/>
    <w:rsid w:val="14DC7D94"/>
    <w:rsid w:val="150B4413"/>
    <w:rsid w:val="15284DD2"/>
    <w:rsid w:val="153B4ABB"/>
    <w:rsid w:val="15593193"/>
    <w:rsid w:val="1565246F"/>
    <w:rsid w:val="15704562"/>
    <w:rsid w:val="158F7706"/>
    <w:rsid w:val="159E6278"/>
    <w:rsid w:val="15A07E3B"/>
    <w:rsid w:val="15AF7257"/>
    <w:rsid w:val="15B4088B"/>
    <w:rsid w:val="15BA32B2"/>
    <w:rsid w:val="15CB0FCE"/>
    <w:rsid w:val="15CC1D5A"/>
    <w:rsid w:val="15DD0268"/>
    <w:rsid w:val="1615681E"/>
    <w:rsid w:val="162163A6"/>
    <w:rsid w:val="16250A86"/>
    <w:rsid w:val="16365EE8"/>
    <w:rsid w:val="16394E85"/>
    <w:rsid w:val="1647748F"/>
    <w:rsid w:val="165A18B8"/>
    <w:rsid w:val="16A17CDC"/>
    <w:rsid w:val="16C52518"/>
    <w:rsid w:val="16EF0A61"/>
    <w:rsid w:val="16FE65D5"/>
    <w:rsid w:val="17332B1E"/>
    <w:rsid w:val="173C59AC"/>
    <w:rsid w:val="174D256E"/>
    <w:rsid w:val="175C3CE3"/>
    <w:rsid w:val="175D5E07"/>
    <w:rsid w:val="176D73C9"/>
    <w:rsid w:val="178F4508"/>
    <w:rsid w:val="17B346F1"/>
    <w:rsid w:val="17BA4F5F"/>
    <w:rsid w:val="180E4C32"/>
    <w:rsid w:val="181652A8"/>
    <w:rsid w:val="181B48F3"/>
    <w:rsid w:val="18232638"/>
    <w:rsid w:val="183879D7"/>
    <w:rsid w:val="183D0A4B"/>
    <w:rsid w:val="18572861"/>
    <w:rsid w:val="18931917"/>
    <w:rsid w:val="18B867FD"/>
    <w:rsid w:val="18C35C48"/>
    <w:rsid w:val="18CA79C8"/>
    <w:rsid w:val="18CE3E98"/>
    <w:rsid w:val="18E112FB"/>
    <w:rsid w:val="18E82ACF"/>
    <w:rsid w:val="190E7B20"/>
    <w:rsid w:val="19185113"/>
    <w:rsid w:val="193C0975"/>
    <w:rsid w:val="1950336F"/>
    <w:rsid w:val="195C6DE3"/>
    <w:rsid w:val="19697BDC"/>
    <w:rsid w:val="19767ADA"/>
    <w:rsid w:val="198C7CCB"/>
    <w:rsid w:val="198F1AF8"/>
    <w:rsid w:val="199E2AD9"/>
    <w:rsid w:val="19D41982"/>
    <w:rsid w:val="19D51DED"/>
    <w:rsid w:val="19E65BA0"/>
    <w:rsid w:val="19E7265C"/>
    <w:rsid w:val="19EA0627"/>
    <w:rsid w:val="19ED0249"/>
    <w:rsid w:val="1A010307"/>
    <w:rsid w:val="1A0C35CC"/>
    <w:rsid w:val="1A514FA6"/>
    <w:rsid w:val="1A5E5307"/>
    <w:rsid w:val="1A600361"/>
    <w:rsid w:val="1A615761"/>
    <w:rsid w:val="1A624B8E"/>
    <w:rsid w:val="1A700487"/>
    <w:rsid w:val="1A926317"/>
    <w:rsid w:val="1AA2783E"/>
    <w:rsid w:val="1AA92266"/>
    <w:rsid w:val="1AB34A5E"/>
    <w:rsid w:val="1ABB3744"/>
    <w:rsid w:val="1AD70716"/>
    <w:rsid w:val="1AD81A1B"/>
    <w:rsid w:val="1AEF468E"/>
    <w:rsid w:val="1AFC1190"/>
    <w:rsid w:val="1B1F6C2C"/>
    <w:rsid w:val="1B383B70"/>
    <w:rsid w:val="1B464AC0"/>
    <w:rsid w:val="1B4E42CC"/>
    <w:rsid w:val="1B4F4E1D"/>
    <w:rsid w:val="1B5A4A37"/>
    <w:rsid w:val="1B6823C0"/>
    <w:rsid w:val="1B6B22AD"/>
    <w:rsid w:val="1B724AD5"/>
    <w:rsid w:val="1B7C446D"/>
    <w:rsid w:val="1B8C3E0C"/>
    <w:rsid w:val="1BA55384"/>
    <w:rsid w:val="1BA95A7C"/>
    <w:rsid w:val="1BC53C27"/>
    <w:rsid w:val="1C006676"/>
    <w:rsid w:val="1C032B85"/>
    <w:rsid w:val="1C110B76"/>
    <w:rsid w:val="1C296221"/>
    <w:rsid w:val="1C3E30E2"/>
    <w:rsid w:val="1C411EE7"/>
    <w:rsid w:val="1C4C4F36"/>
    <w:rsid w:val="1C4E19C0"/>
    <w:rsid w:val="1C6801AF"/>
    <w:rsid w:val="1C7D3A0E"/>
    <w:rsid w:val="1C934791"/>
    <w:rsid w:val="1C9A2A0F"/>
    <w:rsid w:val="1C9D1256"/>
    <w:rsid w:val="1C9E305E"/>
    <w:rsid w:val="1CB67FBD"/>
    <w:rsid w:val="1CC63A5F"/>
    <w:rsid w:val="1CC8429F"/>
    <w:rsid w:val="1CCA3F5F"/>
    <w:rsid w:val="1CD96BE2"/>
    <w:rsid w:val="1CDD1FCF"/>
    <w:rsid w:val="1CE279D7"/>
    <w:rsid w:val="1CED22E9"/>
    <w:rsid w:val="1CF54894"/>
    <w:rsid w:val="1D0432AA"/>
    <w:rsid w:val="1D0C2348"/>
    <w:rsid w:val="1D1A3B4F"/>
    <w:rsid w:val="1D1B2D6D"/>
    <w:rsid w:val="1D2E13A9"/>
    <w:rsid w:val="1D4C033E"/>
    <w:rsid w:val="1D587F23"/>
    <w:rsid w:val="1D667ACB"/>
    <w:rsid w:val="1D6A5A68"/>
    <w:rsid w:val="1D6B06CF"/>
    <w:rsid w:val="1D7B116B"/>
    <w:rsid w:val="1D7E5172"/>
    <w:rsid w:val="1D8254C7"/>
    <w:rsid w:val="1DA5A986"/>
    <w:rsid w:val="1DA6450C"/>
    <w:rsid w:val="1DC358B8"/>
    <w:rsid w:val="1DC97EE6"/>
    <w:rsid w:val="1DD0420E"/>
    <w:rsid w:val="1DED4DC0"/>
    <w:rsid w:val="1E041082"/>
    <w:rsid w:val="1E107DB8"/>
    <w:rsid w:val="1E1D2572"/>
    <w:rsid w:val="1E3D7AF5"/>
    <w:rsid w:val="1E407A47"/>
    <w:rsid w:val="1E750775"/>
    <w:rsid w:val="1E8A260F"/>
    <w:rsid w:val="1EA806BB"/>
    <w:rsid w:val="1EA954A0"/>
    <w:rsid w:val="1EAA105C"/>
    <w:rsid w:val="1EDC6F15"/>
    <w:rsid w:val="1EDD7C7C"/>
    <w:rsid w:val="1EF764C2"/>
    <w:rsid w:val="1F107FF0"/>
    <w:rsid w:val="1F120BFA"/>
    <w:rsid w:val="1F135208"/>
    <w:rsid w:val="1F274DD5"/>
    <w:rsid w:val="1F3031B6"/>
    <w:rsid w:val="1F3F6FB6"/>
    <w:rsid w:val="1F5134CC"/>
    <w:rsid w:val="1F773616"/>
    <w:rsid w:val="1FA12306"/>
    <w:rsid w:val="1FA57804"/>
    <w:rsid w:val="1FB44D91"/>
    <w:rsid w:val="1FBB7F9F"/>
    <w:rsid w:val="1FDA6EA9"/>
    <w:rsid w:val="1FEF7A85"/>
    <w:rsid w:val="1FF2330E"/>
    <w:rsid w:val="1FF811BB"/>
    <w:rsid w:val="1FFA4EF4"/>
    <w:rsid w:val="1FFD84BB"/>
    <w:rsid w:val="205E67BA"/>
    <w:rsid w:val="20800782"/>
    <w:rsid w:val="20943E18"/>
    <w:rsid w:val="20990ECA"/>
    <w:rsid w:val="209F6845"/>
    <w:rsid w:val="20B10053"/>
    <w:rsid w:val="20B96BBD"/>
    <w:rsid w:val="20D760FF"/>
    <w:rsid w:val="20FA2EAA"/>
    <w:rsid w:val="20FE3A4A"/>
    <w:rsid w:val="21004E0A"/>
    <w:rsid w:val="210459B8"/>
    <w:rsid w:val="2110329F"/>
    <w:rsid w:val="2118648C"/>
    <w:rsid w:val="21194658"/>
    <w:rsid w:val="21200CB5"/>
    <w:rsid w:val="21230D1E"/>
    <w:rsid w:val="21285BC2"/>
    <w:rsid w:val="21394B12"/>
    <w:rsid w:val="21430D20"/>
    <w:rsid w:val="21496944"/>
    <w:rsid w:val="214F018A"/>
    <w:rsid w:val="21537630"/>
    <w:rsid w:val="215464E1"/>
    <w:rsid w:val="216C042F"/>
    <w:rsid w:val="2197576F"/>
    <w:rsid w:val="21A74B52"/>
    <w:rsid w:val="21B207FA"/>
    <w:rsid w:val="21C1781D"/>
    <w:rsid w:val="21C84204"/>
    <w:rsid w:val="21C847FC"/>
    <w:rsid w:val="21EB7868"/>
    <w:rsid w:val="21FF03EC"/>
    <w:rsid w:val="220B1557"/>
    <w:rsid w:val="220E1AD7"/>
    <w:rsid w:val="22156E7A"/>
    <w:rsid w:val="224038C4"/>
    <w:rsid w:val="2277734E"/>
    <w:rsid w:val="22782693"/>
    <w:rsid w:val="227F066B"/>
    <w:rsid w:val="22850432"/>
    <w:rsid w:val="22995516"/>
    <w:rsid w:val="22C01511"/>
    <w:rsid w:val="22C51682"/>
    <w:rsid w:val="22CD28E2"/>
    <w:rsid w:val="22CE23E6"/>
    <w:rsid w:val="22F13644"/>
    <w:rsid w:val="231E0122"/>
    <w:rsid w:val="23225D32"/>
    <w:rsid w:val="233314C7"/>
    <w:rsid w:val="23504CDA"/>
    <w:rsid w:val="23636687"/>
    <w:rsid w:val="2377323E"/>
    <w:rsid w:val="23796741"/>
    <w:rsid w:val="23845813"/>
    <w:rsid w:val="23924BCA"/>
    <w:rsid w:val="239F0985"/>
    <w:rsid w:val="23AA6B86"/>
    <w:rsid w:val="23B1103B"/>
    <w:rsid w:val="23C94381"/>
    <w:rsid w:val="23CC0E7C"/>
    <w:rsid w:val="23EB6BA7"/>
    <w:rsid w:val="23F453F1"/>
    <w:rsid w:val="23FB3B0B"/>
    <w:rsid w:val="23FC5944"/>
    <w:rsid w:val="24032068"/>
    <w:rsid w:val="240613A3"/>
    <w:rsid w:val="241F58C5"/>
    <w:rsid w:val="242D77E6"/>
    <w:rsid w:val="24314F35"/>
    <w:rsid w:val="243A3850"/>
    <w:rsid w:val="244405E3"/>
    <w:rsid w:val="245257F6"/>
    <w:rsid w:val="24611289"/>
    <w:rsid w:val="24621AEB"/>
    <w:rsid w:val="246F673A"/>
    <w:rsid w:val="247456DF"/>
    <w:rsid w:val="249A4D50"/>
    <w:rsid w:val="24AE0D3C"/>
    <w:rsid w:val="24C10C52"/>
    <w:rsid w:val="24D34D10"/>
    <w:rsid w:val="24DC4CD6"/>
    <w:rsid w:val="24EC7B7F"/>
    <w:rsid w:val="24F353CE"/>
    <w:rsid w:val="24FA33BA"/>
    <w:rsid w:val="24FC68BD"/>
    <w:rsid w:val="25232091"/>
    <w:rsid w:val="252F12B8"/>
    <w:rsid w:val="25311A36"/>
    <w:rsid w:val="25315A92"/>
    <w:rsid w:val="25332F3E"/>
    <w:rsid w:val="2537321F"/>
    <w:rsid w:val="25452535"/>
    <w:rsid w:val="25490112"/>
    <w:rsid w:val="255D1DDA"/>
    <w:rsid w:val="258A7BE6"/>
    <w:rsid w:val="25900E53"/>
    <w:rsid w:val="25A81898"/>
    <w:rsid w:val="25B4606C"/>
    <w:rsid w:val="25B9559D"/>
    <w:rsid w:val="25BD151C"/>
    <w:rsid w:val="25CC7E8F"/>
    <w:rsid w:val="25CE1DB0"/>
    <w:rsid w:val="25E21973"/>
    <w:rsid w:val="25E5390D"/>
    <w:rsid w:val="25EB65A4"/>
    <w:rsid w:val="2618250D"/>
    <w:rsid w:val="26686FBE"/>
    <w:rsid w:val="26A249BB"/>
    <w:rsid w:val="26A5092E"/>
    <w:rsid w:val="26C012C4"/>
    <w:rsid w:val="26C76808"/>
    <w:rsid w:val="26CE378C"/>
    <w:rsid w:val="26E22949"/>
    <w:rsid w:val="26FB6383"/>
    <w:rsid w:val="2704340F"/>
    <w:rsid w:val="270A552E"/>
    <w:rsid w:val="272027C9"/>
    <w:rsid w:val="27243FFB"/>
    <w:rsid w:val="27267730"/>
    <w:rsid w:val="272F5BD7"/>
    <w:rsid w:val="273905EC"/>
    <w:rsid w:val="274F000B"/>
    <w:rsid w:val="27524813"/>
    <w:rsid w:val="27554391"/>
    <w:rsid w:val="277D024B"/>
    <w:rsid w:val="278E62F6"/>
    <w:rsid w:val="279E39CA"/>
    <w:rsid w:val="27AB3D22"/>
    <w:rsid w:val="27B257FF"/>
    <w:rsid w:val="27B714BB"/>
    <w:rsid w:val="27B841B7"/>
    <w:rsid w:val="27BC3B3A"/>
    <w:rsid w:val="28261464"/>
    <w:rsid w:val="283E1311"/>
    <w:rsid w:val="284C045D"/>
    <w:rsid w:val="284E5D08"/>
    <w:rsid w:val="28577949"/>
    <w:rsid w:val="2868416A"/>
    <w:rsid w:val="286A7187"/>
    <w:rsid w:val="2890116A"/>
    <w:rsid w:val="28A92D4A"/>
    <w:rsid w:val="28AA2846"/>
    <w:rsid w:val="28B63B22"/>
    <w:rsid w:val="28BC3D0D"/>
    <w:rsid w:val="28C36938"/>
    <w:rsid w:val="28C42944"/>
    <w:rsid w:val="28DA3395"/>
    <w:rsid w:val="28E87052"/>
    <w:rsid w:val="28EC6B33"/>
    <w:rsid w:val="28FE280A"/>
    <w:rsid w:val="290A2CCA"/>
    <w:rsid w:val="291C5438"/>
    <w:rsid w:val="29210904"/>
    <w:rsid w:val="292673E2"/>
    <w:rsid w:val="29402730"/>
    <w:rsid w:val="294F46B7"/>
    <w:rsid w:val="2954525D"/>
    <w:rsid w:val="296454F8"/>
    <w:rsid w:val="29746395"/>
    <w:rsid w:val="297B7724"/>
    <w:rsid w:val="298F3DBD"/>
    <w:rsid w:val="29A73253"/>
    <w:rsid w:val="29BF7AE3"/>
    <w:rsid w:val="29C72A75"/>
    <w:rsid w:val="29CE605A"/>
    <w:rsid w:val="29F04C94"/>
    <w:rsid w:val="29F90B9F"/>
    <w:rsid w:val="29FF56F6"/>
    <w:rsid w:val="2A423861"/>
    <w:rsid w:val="2A502150"/>
    <w:rsid w:val="2A6579FB"/>
    <w:rsid w:val="2A6E34F4"/>
    <w:rsid w:val="2A847B4D"/>
    <w:rsid w:val="2A9C7742"/>
    <w:rsid w:val="2AA25062"/>
    <w:rsid w:val="2AA259D0"/>
    <w:rsid w:val="2AE81C65"/>
    <w:rsid w:val="2AF8625E"/>
    <w:rsid w:val="2B1C6CE5"/>
    <w:rsid w:val="2B3FE9D1"/>
    <w:rsid w:val="2B4B6090"/>
    <w:rsid w:val="2B5244B4"/>
    <w:rsid w:val="2B555CA8"/>
    <w:rsid w:val="2B6007B5"/>
    <w:rsid w:val="2B8933A7"/>
    <w:rsid w:val="2B906D86"/>
    <w:rsid w:val="2B961F29"/>
    <w:rsid w:val="2BD70770"/>
    <w:rsid w:val="2BE00771"/>
    <w:rsid w:val="2C012722"/>
    <w:rsid w:val="2C033842"/>
    <w:rsid w:val="2C222257"/>
    <w:rsid w:val="2C2417F8"/>
    <w:rsid w:val="2C4F5579"/>
    <w:rsid w:val="2C734DFA"/>
    <w:rsid w:val="2C87488F"/>
    <w:rsid w:val="2C8B24A1"/>
    <w:rsid w:val="2C942107"/>
    <w:rsid w:val="2CA814B4"/>
    <w:rsid w:val="2CB431B9"/>
    <w:rsid w:val="2CB71165"/>
    <w:rsid w:val="2CD05FD9"/>
    <w:rsid w:val="2CF91192"/>
    <w:rsid w:val="2D0B6A5D"/>
    <w:rsid w:val="2D26643B"/>
    <w:rsid w:val="2D2D2ACF"/>
    <w:rsid w:val="2D3C0C85"/>
    <w:rsid w:val="2D4973F6"/>
    <w:rsid w:val="2D4A15DA"/>
    <w:rsid w:val="2DA82168"/>
    <w:rsid w:val="2DA864C6"/>
    <w:rsid w:val="2DB85492"/>
    <w:rsid w:val="2DBC0253"/>
    <w:rsid w:val="2DBE1F83"/>
    <w:rsid w:val="2DBE3B18"/>
    <w:rsid w:val="2DC31699"/>
    <w:rsid w:val="2DDA27BE"/>
    <w:rsid w:val="2DEE53F1"/>
    <w:rsid w:val="2DFD3EC3"/>
    <w:rsid w:val="2E121023"/>
    <w:rsid w:val="2E1D6FFC"/>
    <w:rsid w:val="2E376D01"/>
    <w:rsid w:val="2E4109D4"/>
    <w:rsid w:val="2E622BE0"/>
    <w:rsid w:val="2E6958EF"/>
    <w:rsid w:val="2E6C3ADF"/>
    <w:rsid w:val="2E862DF3"/>
    <w:rsid w:val="2E89499A"/>
    <w:rsid w:val="2E8C0CED"/>
    <w:rsid w:val="2E956D59"/>
    <w:rsid w:val="2EA414CB"/>
    <w:rsid w:val="2EAD6075"/>
    <w:rsid w:val="2EC0729A"/>
    <w:rsid w:val="2ED94C4C"/>
    <w:rsid w:val="2EDB21DA"/>
    <w:rsid w:val="2EE4364E"/>
    <w:rsid w:val="2EEB458A"/>
    <w:rsid w:val="2EED10C4"/>
    <w:rsid w:val="2F155014"/>
    <w:rsid w:val="2F1C157D"/>
    <w:rsid w:val="2F626C1D"/>
    <w:rsid w:val="2F634EE2"/>
    <w:rsid w:val="2F6A4E58"/>
    <w:rsid w:val="2F6C023B"/>
    <w:rsid w:val="2F745945"/>
    <w:rsid w:val="2F9E747C"/>
    <w:rsid w:val="2FAD43AF"/>
    <w:rsid w:val="2FBB5682"/>
    <w:rsid w:val="2FDF17C6"/>
    <w:rsid w:val="302742B2"/>
    <w:rsid w:val="30696F79"/>
    <w:rsid w:val="306B0757"/>
    <w:rsid w:val="3075660F"/>
    <w:rsid w:val="307D533E"/>
    <w:rsid w:val="30813734"/>
    <w:rsid w:val="3089691C"/>
    <w:rsid w:val="308A21E4"/>
    <w:rsid w:val="30BD2711"/>
    <w:rsid w:val="30BE4139"/>
    <w:rsid w:val="30C81B23"/>
    <w:rsid w:val="30DA0EAE"/>
    <w:rsid w:val="30E836E5"/>
    <w:rsid w:val="30EC434D"/>
    <w:rsid w:val="30EF7582"/>
    <w:rsid w:val="30F545DF"/>
    <w:rsid w:val="30F62060"/>
    <w:rsid w:val="310C2518"/>
    <w:rsid w:val="31123098"/>
    <w:rsid w:val="315272FB"/>
    <w:rsid w:val="316D2F86"/>
    <w:rsid w:val="31734FCA"/>
    <w:rsid w:val="31A6555A"/>
    <w:rsid w:val="31AD31FF"/>
    <w:rsid w:val="31B66022"/>
    <w:rsid w:val="31C04FB8"/>
    <w:rsid w:val="31C66EB6"/>
    <w:rsid w:val="31DD57E8"/>
    <w:rsid w:val="31ED2F2F"/>
    <w:rsid w:val="31EF5FC6"/>
    <w:rsid w:val="321E24D4"/>
    <w:rsid w:val="32270449"/>
    <w:rsid w:val="32362F90"/>
    <w:rsid w:val="32901719"/>
    <w:rsid w:val="32925305"/>
    <w:rsid w:val="329B4902"/>
    <w:rsid w:val="32AF1778"/>
    <w:rsid w:val="32B716C6"/>
    <w:rsid w:val="32D1225A"/>
    <w:rsid w:val="32DF3885"/>
    <w:rsid w:val="32DF4DFC"/>
    <w:rsid w:val="32E05404"/>
    <w:rsid w:val="32E07006"/>
    <w:rsid w:val="330B3EFF"/>
    <w:rsid w:val="3312549C"/>
    <w:rsid w:val="331D709D"/>
    <w:rsid w:val="332116F0"/>
    <w:rsid w:val="332C1B89"/>
    <w:rsid w:val="3341378C"/>
    <w:rsid w:val="334F4581"/>
    <w:rsid w:val="335038B0"/>
    <w:rsid w:val="335C2D4D"/>
    <w:rsid w:val="33874918"/>
    <w:rsid w:val="33AD07DF"/>
    <w:rsid w:val="33B72DF3"/>
    <w:rsid w:val="33C462F5"/>
    <w:rsid w:val="33DE547F"/>
    <w:rsid w:val="33E162AB"/>
    <w:rsid w:val="33E60094"/>
    <w:rsid w:val="33E67E90"/>
    <w:rsid w:val="33EB36F8"/>
    <w:rsid w:val="33F63248"/>
    <w:rsid w:val="33FF998F"/>
    <w:rsid w:val="340B7932"/>
    <w:rsid w:val="343717AD"/>
    <w:rsid w:val="344277BC"/>
    <w:rsid w:val="345179FF"/>
    <w:rsid w:val="346412A1"/>
    <w:rsid w:val="34692C92"/>
    <w:rsid w:val="347A6BAA"/>
    <w:rsid w:val="347C2AEF"/>
    <w:rsid w:val="348428C3"/>
    <w:rsid w:val="348A7DC9"/>
    <w:rsid w:val="348B0053"/>
    <w:rsid w:val="349B68A9"/>
    <w:rsid w:val="34A806EA"/>
    <w:rsid w:val="34AF188B"/>
    <w:rsid w:val="34BC6EF5"/>
    <w:rsid w:val="34C567A9"/>
    <w:rsid w:val="34C80D14"/>
    <w:rsid w:val="34CB4B38"/>
    <w:rsid w:val="34D12B1E"/>
    <w:rsid w:val="34ED46AD"/>
    <w:rsid w:val="351435B0"/>
    <w:rsid w:val="351C4408"/>
    <w:rsid w:val="3537454A"/>
    <w:rsid w:val="358D6AB8"/>
    <w:rsid w:val="359A76DB"/>
    <w:rsid w:val="35A62714"/>
    <w:rsid w:val="35B709E7"/>
    <w:rsid w:val="35C153A2"/>
    <w:rsid w:val="35CB37E1"/>
    <w:rsid w:val="35E81EA9"/>
    <w:rsid w:val="35EE757C"/>
    <w:rsid w:val="35F55F65"/>
    <w:rsid w:val="3614749E"/>
    <w:rsid w:val="36154547"/>
    <w:rsid w:val="36166ADD"/>
    <w:rsid w:val="3620057D"/>
    <w:rsid w:val="362F3EFB"/>
    <w:rsid w:val="36351EC5"/>
    <w:rsid w:val="36602B94"/>
    <w:rsid w:val="36622AC7"/>
    <w:rsid w:val="36770A04"/>
    <w:rsid w:val="36870C9B"/>
    <w:rsid w:val="368A4A8E"/>
    <w:rsid w:val="368D30C1"/>
    <w:rsid w:val="36BB3B00"/>
    <w:rsid w:val="36DE12F2"/>
    <w:rsid w:val="36E52680"/>
    <w:rsid w:val="36E70CA6"/>
    <w:rsid w:val="37185630"/>
    <w:rsid w:val="37263A65"/>
    <w:rsid w:val="374B2E2B"/>
    <w:rsid w:val="374D1A75"/>
    <w:rsid w:val="374D3D49"/>
    <w:rsid w:val="37571B39"/>
    <w:rsid w:val="3783605E"/>
    <w:rsid w:val="37907CB6"/>
    <w:rsid w:val="37920A5A"/>
    <w:rsid w:val="37997961"/>
    <w:rsid w:val="37A1443C"/>
    <w:rsid w:val="37B1595C"/>
    <w:rsid w:val="37BC0865"/>
    <w:rsid w:val="37C24BC1"/>
    <w:rsid w:val="37DC1CD5"/>
    <w:rsid w:val="380A5B20"/>
    <w:rsid w:val="380B33C0"/>
    <w:rsid w:val="381D0347"/>
    <w:rsid w:val="38264809"/>
    <w:rsid w:val="38265C2B"/>
    <w:rsid w:val="382673F4"/>
    <w:rsid w:val="38371BD5"/>
    <w:rsid w:val="383A162D"/>
    <w:rsid w:val="38553053"/>
    <w:rsid w:val="38910D12"/>
    <w:rsid w:val="38A14611"/>
    <w:rsid w:val="38AC16A8"/>
    <w:rsid w:val="38BA4707"/>
    <w:rsid w:val="38C9236B"/>
    <w:rsid w:val="38CD5177"/>
    <w:rsid w:val="38F60B75"/>
    <w:rsid w:val="38F776E8"/>
    <w:rsid w:val="39030907"/>
    <w:rsid w:val="39172B1C"/>
    <w:rsid w:val="391B4662"/>
    <w:rsid w:val="391D0741"/>
    <w:rsid w:val="391D718C"/>
    <w:rsid w:val="3942200C"/>
    <w:rsid w:val="3945068D"/>
    <w:rsid w:val="394A5D8E"/>
    <w:rsid w:val="39550ABE"/>
    <w:rsid w:val="396860DC"/>
    <w:rsid w:val="399C6F29"/>
    <w:rsid w:val="399F4A78"/>
    <w:rsid w:val="39A06E9D"/>
    <w:rsid w:val="39AB6B0E"/>
    <w:rsid w:val="39B707A1"/>
    <w:rsid w:val="39CC1ED7"/>
    <w:rsid w:val="39D52E80"/>
    <w:rsid w:val="39F04166"/>
    <w:rsid w:val="3A24166D"/>
    <w:rsid w:val="3A263172"/>
    <w:rsid w:val="3A4154E8"/>
    <w:rsid w:val="3A5F262C"/>
    <w:rsid w:val="3A650FB8"/>
    <w:rsid w:val="3A7D5742"/>
    <w:rsid w:val="3A90593C"/>
    <w:rsid w:val="3AB30C90"/>
    <w:rsid w:val="3AB4755E"/>
    <w:rsid w:val="3ACF78CF"/>
    <w:rsid w:val="3AEC1CA2"/>
    <w:rsid w:val="3B005CDB"/>
    <w:rsid w:val="3B0A78BE"/>
    <w:rsid w:val="3B15087C"/>
    <w:rsid w:val="3B1F4D68"/>
    <w:rsid w:val="3B2617A2"/>
    <w:rsid w:val="3B5801E7"/>
    <w:rsid w:val="3B6875A8"/>
    <w:rsid w:val="3B6F6EF2"/>
    <w:rsid w:val="3B7F4666"/>
    <w:rsid w:val="3B9701D8"/>
    <w:rsid w:val="3B97789A"/>
    <w:rsid w:val="3B9C5A9E"/>
    <w:rsid w:val="3BB50CB1"/>
    <w:rsid w:val="3BB738BE"/>
    <w:rsid w:val="3BB7C457"/>
    <w:rsid w:val="3BBA58A9"/>
    <w:rsid w:val="3BBF806C"/>
    <w:rsid w:val="3BC136BC"/>
    <w:rsid w:val="3BCE8DE4"/>
    <w:rsid w:val="3BEF4ED1"/>
    <w:rsid w:val="3BF5CD4E"/>
    <w:rsid w:val="3BFE1515"/>
    <w:rsid w:val="3BFF16F9"/>
    <w:rsid w:val="3C1527A8"/>
    <w:rsid w:val="3C3E427E"/>
    <w:rsid w:val="3C4904F0"/>
    <w:rsid w:val="3C8B2027"/>
    <w:rsid w:val="3C8E445C"/>
    <w:rsid w:val="3C930C91"/>
    <w:rsid w:val="3CA37642"/>
    <w:rsid w:val="3CDF9DF8"/>
    <w:rsid w:val="3CE33B06"/>
    <w:rsid w:val="3CE61874"/>
    <w:rsid w:val="3CF96BD7"/>
    <w:rsid w:val="3D0F7DEF"/>
    <w:rsid w:val="3D406057"/>
    <w:rsid w:val="3D5D4A05"/>
    <w:rsid w:val="3D6C35EF"/>
    <w:rsid w:val="3D9F7D30"/>
    <w:rsid w:val="3DB15A01"/>
    <w:rsid w:val="3DE56BBC"/>
    <w:rsid w:val="3DE7259D"/>
    <w:rsid w:val="3DEB5B5D"/>
    <w:rsid w:val="3DF053E7"/>
    <w:rsid w:val="3DFC243B"/>
    <w:rsid w:val="3DFF507C"/>
    <w:rsid w:val="3E027FCA"/>
    <w:rsid w:val="3E0700C6"/>
    <w:rsid w:val="3E09654F"/>
    <w:rsid w:val="3E0E5257"/>
    <w:rsid w:val="3E11308C"/>
    <w:rsid w:val="3E282976"/>
    <w:rsid w:val="3E2A7B0A"/>
    <w:rsid w:val="3E3C3120"/>
    <w:rsid w:val="3E3FEAC1"/>
    <w:rsid w:val="3E5750E0"/>
    <w:rsid w:val="3E7027FD"/>
    <w:rsid w:val="3E854E75"/>
    <w:rsid w:val="3EAC5A7F"/>
    <w:rsid w:val="3EB23790"/>
    <w:rsid w:val="3EBD5197"/>
    <w:rsid w:val="3EBE037D"/>
    <w:rsid w:val="3EE13711"/>
    <w:rsid w:val="3F0F51D1"/>
    <w:rsid w:val="3F143F10"/>
    <w:rsid w:val="3F277DAD"/>
    <w:rsid w:val="3F3D37CD"/>
    <w:rsid w:val="3F4A6FC6"/>
    <w:rsid w:val="3F6F51DD"/>
    <w:rsid w:val="3F712998"/>
    <w:rsid w:val="3F7B8F63"/>
    <w:rsid w:val="3F7DE71E"/>
    <w:rsid w:val="3F7E770C"/>
    <w:rsid w:val="3F9625DF"/>
    <w:rsid w:val="3F991F42"/>
    <w:rsid w:val="3FAA090B"/>
    <w:rsid w:val="3FAB7C2C"/>
    <w:rsid w:val="3FD02F63"/>
    <w:rsid w:val="3FD6694D"/>
    <w:rsid w:val="3FD778A5"/>
    <w:rsid w:val="3FDD07D5"/>
    <w:rsid w:val="3FEC4A80"/>
    <w:rsid w:val="40337EDF"/>
    <w:rsid w:val="40711632"/>
    <w:rsid w:val="4074043D"/>
    <w:rsid w:val="407D713B"/>
    <w:rsid w:val="40B530C4"/>
    <w:rsid w:val="40E65CAF"/>
    <w:rsid w:val="40ED1229"/>
    <w:rsid w:val="40F3031D"/>
    <w:rsid w:val="41084BE7"/>
    <w:rsid w:val="41087697"/>
    <w:rsid w:val="4127066A"/>
    <w:rsid w:val="41615351"/>
    <w:rsid w:val="4183361C"/>
    <w:rsid w:val="419655A8"/>
    <w:rsid w:val="41994A76"/>
    <w:rsid w:val="419D73B1"/>
    <w:rsid w:val="41B44BEA"/>
    <w:rsid w:val="41CF6A07"/>
    <w:rsid w:val="41D01EDB"/>
    <w:rsid w:val="41D318B0"/>
    <w:rsid w:val="422F5FC5"/>
    <w:rsid w:val="42374F39"/>
    <w:rsid w:val="425D222F"/>
    <w:rsid w:val="4284568C"/>
    <w:rsid w:val="42E34F87"/>
    <w:rsid w:val="42EA799C"/>
    <w:rsid w:val="42FF478C"/>
    <w:rsid w:val="43104C32"/>
    <w:rsid w:val="431542ED"/>
    <w:rsid w:val="432B46F7"/>
    <w:rsid w:val="433305EA"/>
    <w:rsid w:val="43827BD5"/>
    <w:rsid w:val="4386251E"/>
    <w:rsid w:val="43BB3733"/>
    <w:rsid w:val="43D0107A"/>
    <w:rsid w:val="43D33F8D"/>
    <w:rsid w:val="43FA0BF7"/>
    <w:rsid w:val="440321E8"/>
    <w:rsid w:val="44066626"/>
    <w:rsid w:val="44095C00"/>
    <w:rsid w:val="44242A3A"/>
    <w:rsid w:val="44256BA2"/>
    <w:rsid w:val="443133A9"/>
    <w:rsid w:val="44457410"/>
    <w:rsid w:val="4471564B"/>
    <w:rsid w:val="447826DE"/>
    <w:rsid w:val="447D10A0"/>
    <w:rsid w:val="44800972"/>
    <w:rsid w:val="448B2AB9"/>
    <w:rsid w:val="44A01A87"/>
    <w:rsid w:val="44AD5B3A"/>
    <w:rsid w:val="44DF47D9"/>
    <w:rsid w:val="44E01C7E"/>
    <w:rsid w:val="44E1570B"/>
    <w:rsid w:val="44F04025"/>
    <w:rsid w:val="45130EE2"/>
    <w:rsid w:val="451E5464"/>
    <w:rsid w:val="452C5DFA"/>
    <w:rsid w:val="453F38F4"/>
    <w:rsid w:val="4540092C"/>
    <w:rsid w:val="45495301"/>
    <w:rsid w:val="454F3AC6"/>
    <w:rsid w:val="45575D4E"/>
    <w:rsid w:val="456B50DD"/>
    <w:rsid w:val="458C09F0"/>
    <w:rsid w:val="45A0295E"/>
    <w:rsid w:val="45A727F4"/>
    <w:rsid w:val="45B45546"/>
    <w:rsid w:val="45B55D2D"/>
    <w:rsid w:val="45E225A0"/>
    <w:rsid w:val="45EB6F4F"/>
    <w:rsid w:val="46044E1D"/>
    <w:rsid w:val="461A0599"/>
    <w:rsid w:val="46236D21"/>
    <w:rsid w:val="46333408"/>
    <w:rsid w:val="46565EF6"/>
    <w:rsid w:val="465A0995"/>
    <w:rsid w:val="467774A5"/>
    <w:rsid w:val="46AC7862"/>
    <w:rsid w:val="46DC49E4"/>
    <w:rsid w:val="46ED7009"/>
    <w:rsid w:val="47130EF6"/>
    <w:rsid w:val="473E4B6F"/>
    <w:rsid w:val="47414E35"/>
    <w:rsid w:val="47633AAA"/>
    <w:rsid w:val="477F2A04"/>
    <w:rsid w:val="479E5470"/>
    <w:rsid w:val="47A0687C"/>
    <w:rsid w:val="47B76DB7"/>
    <w:rsid w:val="47C47C7F"/>
    <w:rsid w:val="47E5706F"/>
    <w:rsid w:val="47FD2B34"/>
    <w:rsid w:val="48004B9E"/>
    <w:rsid w:val="483324D1"/>
    <w:rsid w:val="48396403"/>
    <w:rsid w:val="483D3882"/>
    <w:rsid w:val="48463B9E"/>
    <w:rsid w:val="4846543F"/>
    <w:rsid w:val="484B50AC"/>
    <w:rsid w:val="484F2050"/>
    <w:rsid w:val="4852627F"/>
    <w:rsid w:val="487D7A79"/>
    <w:rsid w:val="4893018E"/>
    <w:rsid w:val="489D2A86"/>
    <w:rsid w:val="48A374C6"/>
    <w:rsid w:val="48AF350A"/>
    <w:rsid w:val="48B37F53"/>
    <w:rsid w:val="48D1198C"/>
    <w:rsid w:val="48DC0E54"/>
    <w:rsid w:val="48FE6E78"/>
    <w:rsid w:val="4910652A"/>
    <w:rsid w:val="49125B3D"/>
    <w:rsid w:val="491B4D4A"/>
    <w:rsid w:val="49282FCC"/>
    <w:rsid w:val="493F5A30"/>
    <w:rsid w:val="49402B84"/>
    <w:rsid w:val="495A7F53"/>
    <w:rsid w:val="495D4B69"/>
    <w:rsid w:val="49650FE7"/>
    <w:rsid w:val="49757894"/>
    <w:rsid w:val="49B642FE"/>
    <w:rsid w:val="49D4280C"/>
    <w:rsid w:val="49DB1DED"/>
    <w:rsid w:val="49F031DE"/>
    <w:rsid w:val="49FA280B"/>
    <w:rsid w:val="4A2B3224"/>
    <w:rsid w:val="4A2D2C8E"/>
    <w:rsid w:val="4A374FC7"/>
    <w:rsid w:val="4A5B4CDC"/>
    <w:rsid w:val="4A750E23"/>
    <w:rsid w:val="4A781A04"/>
    <w:rsid w:val="4A815B23"/>
    <w:rsid w:val="4A886445"/>
    <w:rsid w:val="4AA253A8"/>
    <w:rsid w:val="4AAA3D10"/>
    <w:rsid w:val="4AAD2600"/>
    <w:rsid w:val="4AB94E26"/>
    <w:rsid w:val="4ACB7C97"/>
    <w:rsid w:val="4AD33FB6"/>
    <w:rsid w:val="4AD807FC"/>
    <w:rsid w:val="4ADB132C"/>
    <w:rsid w:val="4AE603EC"/>
    <w:rsid w:val="4AF72494"/>
    <w:rsid w:val="4B4C4394"/>
    <w:rsid w:val="4B571A2A"/>
    <w:rsid w:val="4B727D59"/>
    <w:rsid w:val="4B81390E"/>
    <w:rsid w:val="4B8A501D"/>
    <w:rsid w:val="4B9009B5"/>
    <w:rsid w:val="4BB723E6"/>
    <w:rsid w:val="4BD6186B"/>
    <w:rsid w:val="4BE61170"/>
    <w:rsid w:val="4BEA2ACB"/>
    <w:rsid w:val="4C0B347F"/>
    <w:rsid w:val="4C255D28"/>
    <w:rsid w:val="4C385F35"/>
    <w:rsid w:val="4C392516"/>
    <w:rsid w:val="4C3B4DC5"/>
    <w:rsid w:val="4C48652B"/>
    <w:rsid w:val="4C596B3F"/>
    <w:rsid w:val="4C6D1F26"/>
    <w:rsid w:val="4C83535B"/>
    <w:rsid w:val="4C9B5863"/>
    <w:rsid w:val="4CAA3CF8"/>
    <w:rsid w:val="4CAE3FDC"/>
    <w:rsid w:val="4CB94217"/>
    <w:rsid w:val="4CC90623"/>
    <w:rsid w:val="4CCC358C"/>
    <w:rsid w:val="4CE73DCD"/>
    <w:rsid w:val="4CF21732"/>
    <w:rsid w:val="4CF478DB"/>
    <w:rsid w:val="4D152038"/>
    <w:rsid w:val="4D175322"/>
    <w:rsid w:val="4D212DAE"/>
    <w:rsid w:val="4D2A372D"/>
    <w:rsid w:val="4D3A7B63"/>
    <w:rsid w:val="4D4BED6E"/>
    <w:rsid w:val="4D4F3CEF"/>
    <w:rsid w:val="4D567BF6"/>
    <w:rsid w:val="4D580B41"/>
    <w:rsid w:val="4D875DE8"/>
    <w:rsid w:val="4D8C2523"/>
    <w:rsid w:val="4DA1415C"/>
    <w:rsid w:val="4DA76236"/>
    <w:rsid w:val="4DC23C32"/>
    <w:rsid w:val="4DC41A66"/>
    <w:rsid w:val="4DDF7597"/>
    <w:rsid w:val="4DEE7543"/>
    <w:rsid w:val="4DF72F6D"/>
    <w:rsid w:val="4E041280"/>
    <w:rsid w:val="4E08517B"/>
    <w:rsid w:val="4E1835AE"/>
    <w:rsid w:val="4E19598E"/>
    <w:rsid w:val="4E1E2F39"/>
    <w:rsid w:val="4E2156B9"/>
    <w:rsid w:val="4E4D6006"/>
    <w:rsid w:val="4E9375C7"/>
    <w:rsid w:val="4E9F50B2"/>
    <w:rsid w:val="4EAB0005"/>
    <w:rsid w:val="4EB37674"/>
    <w:rsid w:val="4ECF34D6"/>
    <w:rsid w:val="4ED27537"/>
    <w:rsid w:val="4ED639C3"/>
    <w:rsid w:val="4EDB288F"/>
    <w:rsid w:val="4EDD0F38"/>
    <w:rsid w:val="4EF8269B"/>
    <w:rsid w:val="4F30497A"/>
    <w:rsid w:val="4F732AC8"/>
    <w:rsid w:val="4F893045"/>
    <w:rsid w:val="4F9F2130"/>
    <w:rsid w:val="4FAC5BC3"/>
    <w:rsid w:val="4FB717B4"/>
    <w:rsid w:val="4FC235E9"/>
    <w:rsid w:val="4FC40E38"/>
    <w:rsid w:val="4FC77612"/>
    <w:rsid w:val="4FCB6C55"/>
    <w:rsid w:val="4FF04118"/>
    <w:rsid w:val="4FF053B2"/>
    <w:rsid w:val="4FFFDD1B"/>
    <w:rsid w:val="502F2596"/>
    <w:rsid w:val="503706AE"/>
    <w:rsid w:val="504D4BC4"/>
    <w:rsid w:val="506E0325"/>
    <w:rsid w:val="506E0E70"/>
    <w:rsid w:val="50966E45"/>
    <w:rsid w:val="50B11AF9"/>
    <w:rsid w:val="50B52C0F"/>
    <w:rsid w:val="50CF71DC"/>
    <w:rsid w:val="50D259D6"/>
    <w:rsid w:val="50D312AC"/>
    <w:rsid w:val="50FF5696"/>
    <w:rsid w:val="510A745E"/>
    <w:rsid w:val="515B0916"/>
    <w:rsid w:val="516A1162"/>
    <w:rsid w:val="518854D4"/>
    <w:rsid w:val="51951F32"/>
    <w:rsid w:val="51B22A95"/>
    <w:rsid w:val="51C07B1A"/>
    <w:rsid w:val="51DC4D03"/>
    <w:rsid w:val="51DF2433"/>
    <w:rsid w:val="51E44E4B"/>
    <w:rsid w:val="51EC195B"/>
    <w:rsid w:val="51F54E39"/>
    <w:rsid w:val="52085A70"/>
    <w:rsid w:val="520B4A1A"/>
    <w:rsid w:val="521D2185"/>
    <w:rsid w:val="522954F0"/>
    <w:rsid w:val="5245452B"/>
    <w:rsid w:val="52833BAF"/>
    <w:rsid w:val="52A27917"/>
    <w:rsid w:val="52A952A5"/>
    <w:rsid w:val="52CF0ED4"/>
    <w:rsid w:val="52CF44B9"/>
    <w:rsid w:val="52D52F1B"/>
    <w:rsid w:val="52F1442F"/>
    <w:rsid w:val="53017C2B"/>
    <w:rsid w:val="530A54F1"/>
    <w:rsid w:val="530F7505"/>
    <w:rsid w:val="533B0847"/>
    <w:rsid w:val="534909C1"/>
    <w:rsid w:val="53663062"/>
    <w:rsid w:val="5375738F"/>
    <w:rsid w:val="539F20DD"/>
    <w:rsid w:val="53AD6481"/>
    <w:rsid w:val="53B7300E"/>
    <w:rsid w:val="53D36321"/>
    <w:rsid w:val="53D80461"/>
    <w:rsid w:val="53E52724"/>
    <w:rsid w:val="53FE6481"/>
    <w:rsid w:val="540D4B91"/>
    <w:rsid w:val="54121DDC"/>
    <w:rsid w:val="54297BF9"/>
    <w:rsid w:val="543321DF"/>
    <w:rsid w:val="54335C5B"/>
    <w:rsid w:val="54387E3C"/>
    <w:rsid w:val="544102C3"/>
    <w:rsid w:val="54536BD4"/>
    <w:rsid w:val="5474391D"/>
    <w:rsid w:val="54B971CF"/>
    <w:rsid w:val="54E73B1B"/>
    <w:rsid w:val="54F363EA"/>
    <w:rsid w:val="550223DF"/>
    <w:rsid w:val="55050C6C"/>
    <w:rsid w:val="55054ABC"/>
    <w:rsid w:val="55147C23"/>
    <w:rsid w:val="55191A1B"/>
    <w:rsid w:val="552538AC"/>
    <w:rsid w:val="55391C51"/>
    <w:rsid w:val="553F38A7"/>
    <w:rsid w:val="557C1FAA"/>
    <w:rsid w:val="55952BD0"/>
    <w:rsid w:val="5599444A"/>
    <w:rsid w:val="55CB762E"/>
    <w:rsid w:val="55CC1950"/>
    <w:rsid w:val="55DF2B6F"/>
    <w:rsid w:val="560A1435"/>
    <w:rsid w:val="56170A54"/>
    <w:rsid w:val="564166A9"/>
    <w:rsid w:val="564811E5"/>
    <w:rsid w:val="56513360"/>
    <w:rsid w:val="56530D53"/>
    <w:rsid w:val="56687250"/>
    <w:rsid w:val="566B7DFC"/>
    <w:rsid w:val="56764E66"/>
    <w:rsid w:val="567F4C77"/>
    <w:rsid w:val="56816F45"/>
    <w:rsid w:val="56A1547B"/>
    <w:rsid w:val="56B64DD1"/>
    <w:rsid w:val="56B79610"/>
    <w:rsid w:val="56CD1FB1"/>
    <w:rsid w:val="56D9408C"/>
    <w:rsid w:val="56F03BE4"/>
    <w:rsid w:val="56F520E5"/>
    <w:rsid w:val="570A1F63"/>
    <w:rsid w:val="570E1A1D"/>
    <w:rsid w:val="5716066D"/>
    <w:rsid w:val="571873F4"/>
    <w:rsid w:val="571D3679"/>
    <w:rsid w:val="57354828"/>
    <w:rsid w:val="57474258"/>
    <w:rsid w:val="574B086A"/>
    <w:rsid w:val="5774562F"/>
    <w:rsid w:val="57774D2C"/>
    <w:rsid w:val="578810DA"/>
    <w:rsid w:val="579669C6"/>
    <w:rsid w:val="579B414A"/>
    <w:rsid w:val="57A27F59"/>
    <w:rsid w:val="57B63E99"/>
    <w:rsid w:val="57C10314"/>
    <w:rsid w:val="57D8796C"/>
    <w:rsid w:val="57F6442D"/>
    <w:rsid w:val="57F873A0"/>
    <w:rsid w:val="57FFC09C"/>
    <w:rsid w:val="58160210"/>
    <w:rsid w:val="581666E6"/>
    <w:rsid w:val="584D35F3"/>
    <w:rsid w:val="585A2A77"/>
    <w:rsid w:val="586423C0"/>
    <w:rsid w:val="5866703A"/>
    <w:rsid w:val="58BF5B9C"/>
    <w:rsid w:val="58D16EB8"/>
    <w:rsid w:val="58ED4ED5"/>
    <w:rsid w:val="58EF5457"/>
    <w:rsid w:val="591642EE"/>
    <w:rsid w:val="59260BAB"/>
    <w:rsid w:val="593A1583"/>
    <w:rsid w:val="59513E7A"/>
    <w:rsid w:val="59A0095D"/>
    <w:rsid w:val="59AB60A8"/>
    <w:rsid w:val="59B368E3"/>
    <w:rsid w:val="59EBC4D9"/>
    <w:rsid w:val="5A020743"/>
    <w:rsid w:val="5A1646FC"/>
    <w:rsid w:val="5A1D3C0D"/>
    <w:rsid w:val="5A35270E"/>
    <w:rsid w:val="5A4B6F63"/>
    <w:rsid w:val="5A4E0416"/>
    <w:rsid w:val="5A573022"/>
    <w:rsid w:val="5A8D070B"/>
    <w:rsid w:val="5AA30E15"/>
    <w:rsid w:val="5AAA0940"/>
    <w:rsid w:val="5ADF3707"/>
    <w:rsid w:val="5AFF4025"/>
    <w:rsid w:val="5B184244"/>
    <w:rsid w:val="5B2A14F1"/>
    <w:rsid w:val="5B3D0A3D"/>
    <w:rsid w:val="5B435CDE"/>
    <w:rsid w:val="5B59E7AE"/>
    <w:rsid w:val="5B9339CA"/>
    <w:rsid w:val="5B9D487B"/>
    <w:rsid w:val="5B9F61F5"/>
    <w:rsid w:val="5BA261E3"/>
    <w:rsid w:val="5BB26981"/>
    <w:rsid w:val="5BBA2302"/>
    <w:rsid w:val="5BBB51A4"/>
    <w:rsid w:val="5BD91F04"/>
    <w:rsid w:val="5BE25EBE"/>
    <w:rsid w:val="5BE765B0"/>
    <w:rsid w:val="5C1461F6"/>
    <w:rsid w:val="5C192FD6"/>
    <w:rsid w:val="5C3744D8"/>
    <w:rsid w:val="5C470F9A"/>
    <w:rsid w:val="5C5A4E3E"/>
    <w:rsid w:val="5C6A5252"/>
    <w:rsid w:val="5C6EAC9C"/>
    <w:rsid w:val="5C827671"/>
    <w:rsid w:val="5C8F4899"/>
    <w:rsid w:val="5C905CD1"/>
    <w:rsid w:val="5CA52A3F"/>
    <w:rsid w:val="5CB564CD"/>
    <w:rsid w:val="5CBE7C34"/>
    <w:rsid w:val="5CD3505C"/>
    <w:rsid w:val="5CEF4132"/>
    <w:rsid w:val="5D0019A2"/>
    <w:rsid w:val="5D14400C"/>
    <w:rsid w:val="5D1B5DD0"/>
    <w:rsid w:val="5D2B447A"/>
    <w:rsid w:val="5D2E00C1"/>
    <w:rsid w:val="5D321D3E"/>
    <w:rsid w:val="5D504244"/>
    <w:rsid w:val="5D6C5AE0"/>
    <w:rsid w:val="5D6C783F"/>
    <w:rsid w:val="5D732A5D"/>
    <w:rsid w:val="5D8564E1"/>
    <w:rsid w:val="5D956557"/>
    <w:rsid w:val="5DC80482"/>
    <w:rsid w:val="5DE51034"/>
    <w:rsid w:val="5DEA664B"/>
    <w:rsid w:val="5DED6128"/>
    <w:rsid w:val="5DFD637E"/>
    <w:rsid w:val="5E0F7E5F"/>
    <w:rsid w:val="5E26554A"/>
    <w:rsid w:val="5E587A58"/>
    <w:rsid w:val="5E754D87"/>
    <w:rsid w:val="5E774A07"/>
    <w:rsid w:val="5E7DE3EA"/>
    <w:rsid w:val="5E824EC4"/>
    <w:rsid w:val="5EB36A3D"/>
    <w:rsid w:val="5EB47A1A"/>
    <w:rsid w:val="5EBB3DEA"/>
    <w:rsid w:val="5ECF4213"/>
    <w:rsid w:val="5EDE57CA"/>
    <w:rsid w:val="5EE17A4E"/>
    <w:rsid w:val="5EEF1D87"/>
    <w:rsid w:val="5EFB2A62"/>
    <w:rsid w:val="5F1A7A93"/>
    <w:rsid w:val="5F2842EC"/>
    <w:rsid w:val="5F294F51"/>
    <w:rsid w:val="5F3EA728"/>
    <w:rsid w:val="5F4E5D30"/>
    <w:rsid w:val="5F6A2F59"/>
    <w:rsid w:val="5F6FBF43"/>
    <w:rsid w:val="5F7BEA1B"/>
    <w:rsid w:val="5F7EC7D9"/>
    <w:rsid w:val="5F8C2318"/>
    <w:rsid w:val="5FBE0CC2"/>
    <w:rsid w:val="5FBE3D05"/>
    <w:rsid w:val="5FC15550"/>
    <w:rsid w:val="5FCB09D2"/>
    <w:rsid w:val="5FCD52BA"/>
    <w:rsid w:val="5FEC6D7F"/>
    <w:rsid w:val="5FF732A1"/>
    <w:rsid w:val="5FF9F0B4"/>
    <w:rsid w:val="5FFA53B2"/>
    <w:rsid w:val="5FFB8457"/>
    <w:rsid w:val="5FFCF2A0"/>
    <w:rsid w:val="600028C3"/>
    <w:rsid w:val="60045493"/>
    <w:rsid w:val="60141108"/>
    <w:rsid w:val="60153D6D"/>
    <w:rsid w:val="603242D9"/>
    <w:rsid w:val="60395782"/>
    <w:rsid w:val="604F2113"/>
    <w:rsid w:val="60502191"/>
    <w:rsid w:val="60673D05"/>
    <w:rsid w:val="60932D27"/>
    <w:rsid w:val="60BE0276"/>
    <w:rsid w:val="60C4204E"/>
    <w:rsid w:val="60DF1D6B"/>
    <w:rsid w:val="60E42431"/>
    <w:rsid w:val="61007F33"/>
    <w:rsid w:val="61160FC9"/>
    <w:rsid w:val="61366890"/>
    <w:rsid w:val="61434438"/>
    <w:rsid w:val="615C0811"/>
    <w:rsid w:val="61857F0D"/>
    <w:rsid w:val="61B23EE2"/>
    <w:rsid w:val="61B6615E"/>
    <w:rsid w:val="61CA0280"/>
    <w:rsid w:val="61CA4BDC"/>
    <w:rsid w:val="61E643A1"/>
    <w:rsid w:val="61F23D20"/>
    <w:rsid w:val="62022D5A"/>
    <w:rsid w:val="62055A75"/>
    <w:rsid w:val="624956CD"/>
    <w:rsid w:val="624D1548"/>
    <w:rsid w:val="624D71A8"/>
    <w:rsid w:val="626A1485"/>
    <w:rsid w:val="62740BD9"/>
    <w:rsid w:val="6277349D"/>
    <w:rsid w:val="62773671"/>
    <w:rsid w:val="628351C5"/>
    <w:rsid w:val="6288754D"/>
    <w:rsid w:val="628B4489"/>
    <w:rsid w:val="62A54CC4"/>
    <w:rsid w:val="62AE1CFD"/>
    <w:rsid w:val="62BB059B"/>
    <w:rsid w:val="62BE0F0F"/>
    <w:rsid w:val="62C32E18"/>
    <w:rsid w:val="62CB5DE7"/>
    <w:rsid w:val="62EA0E9B"/>
    <w:rsid w:val="63014D95"/>
    <w:rsid w:val="630A1AAF"/>
    <w:rsid w:val="630B100E"/>
    <w:rsid w:val="632F25B4"/>
    <w:rsid w:val="633D6266"/>
    <w:rsid w:val="634619AE"/>
    <w:rsid w:val="63467B6E"/>
    <w:rsid w:val="634D3F1C"/>
    <w:rsid w:val="6359330B"/>
    <w:rsid w:val="636D19C5"/>
    <w:rsid w:val="6388493C"/>
    <w:rsid w:val="63A537AE"/>
    <w:rsid w:val="63A7493D"/>
    <w:rsid w:val="63B1353D"/>
    <w:rsid w:val="63D1692C"/>
    <w:rsid w:val="63D27B18"/>
    <w:rsid w:val="63E02DF6"/>
    <w:rsid w:val="6416019A"/>
    <w:rsid w:val="64285F62"/>
    <w:rsid w:val="6430493E"/>
    <w:rsid w:val="64581157"/>
    <w:rsid w:val="64646C4A"/>
    <w:rsid w:val="64653CE9"/>
    <w:rsid w:val="64710555"/>
    <w:rsid w:val="64723D22"/>
    <w:rsid w:val="64750536"/>
    <w:rsid w:val="64910677"/>
    <w:rsid w:val="64A245A7"/>
    <w:rsid w:val="64E609A5"/>
    <w:rsid w:val="65046244"/>
    <w:rsid w:val="650E7EF7"/>
    <w:rsid w:val="650F715A"/>
    <w:rsid w:val="652607CD"/>
    <w:rsid w:val="65323396"/>
    <w:rsid w:val="657E0A92"/>
    <w:rsid w:val="65827499"/>
    <w:rsid w:val="65A41A6E"/>
    <w:rsid w:val="65AA56B7"/>
    <w:rsid w:val="65BB7C52"/>
    <w:rsid w:val="65D75707"/>
    <w:rsid w:val="65F05B23"/>
    <w:rsid w:val="66001361"/>
    <w:rsid w:val="660202AA"/>
    <w:rsid w:val="66037970"/>
    <w:rsid w:val="661C2559"/>
    <w:rsid w:val="661C3622"/>
    <w:rsid w:val="66235C56"/>
    <w:rsid w:val="664107D0"/>
    <w:rsid w:val="66477495"/>
    <w:rsid w:val="665419EF"/>
    <w:rsid w:val="666343BB"/>
    <w:rsid w:val="668D1085"/>
    <w:rsid w:val="668F6351"/>
    <w:rsid w:val="669B4986"/>
    <w:rsid w:val="66A01E6F"/>
    <w:rsid w:val="66A475FD"/>
    <w:rsid w:val="66A9017B"/>
    <w:rsid w:val="66A9783B"/>
    <w:rsid w:val="66BF3341"/>
    <w:rsid w:val="66D04BBC"/>
    <w:rsid w:val="66ED13D5"/>
    <w:rsid w:val="671C39B6"/>
    <w:rsid w:val="6721CF9C"/>
    <w:rsid w:val="6728524B"/>
    <w:rsid w:val="67555BC2"/>
    <w:rsid w:val="675A2892"/>
    <w:rsid w:val="67695D7D"/>
    <w:rsid w:val="67AA0BB3"/>
    <w:rsid w:val="67AA2321"/>
    <w:rsid w:val="67AB0BF9"/>
    <w:rsid w:val="67AC2BC3"/>
    <w:rsid w:val="67B5543F"/>
    <w:rsid w:val="67CF0DBE"/>
    <w:rsid w:val="67FBDD67"/>
    <w:rsid w:val="68080C5C"/>
    <w:rsid w:val="68200C7C"/>
    <w:rsid w:val="682378EA"/>
    <w:rsid w:val="684B230F"/>
    <w:rsid w:val="685968A7"/>
    <w:rsid w:val="68760770"/>
    <w:rsid w:val="68872A1E"/>
    <w:rsid w:val="689417C7"/>
    <w:rsid w:val="689A0C6D"/>
    <w:rsid w:val="68A8061E"/>
    <w:rsid w:val="68B21A8C"/>
    <w:rsid w:val="68B910F3"/>
    <w:rsid w:val="68C53B3C"/>
    <w:rsid w:val="68C93813"/>
    <w:rsid w:val="68DC276A"/>
    <w:rsid w:val="68F52FB4"/>
    <w:rsid w:val="692D388F"/>
    <w:rsid w:val="692F13B6"/>
    <w:rsid w:val="692F7B9E"/>
    <w:rsid w:val="69625C4C"/>
    <w:rsid w:val="697D0D35"/>
    <w:rsid w:val="698E6928"/>
    <w:rsid w:val="69A4282E"/>
    <w:rsid w:val="69AF5EEE"/>
    <w:rsid w:val="69B17394"/>
    <w:rsid w:val="69B61AD7"/>
    <w:rsid w:val="69CF2D60"/>
    <w:rsid w:val="69DDDB59"/>
    <w:rsid w:val="69EA60D3"/>
    <w:rsid w:val="69F869C8"/>
    <w:rsid w:val="69FC07ED"/>
    <w:rsid w:val="6A143694"/>
    <w:rsid w:val="6A242EE4"/>
    <w:rsid w:val="6A2F0853"/>
    <w:rsid w:val="6A2F29EF"/>
    <w:rsid w:val="6A2FC84D"/>
    <w:rsid w:val="6A32771D"/>
    <w:rsid w:val="6A4146E3"/>
    <w:rsid w:val="6A441C65"/>
    <w:rsid w:val="6A7D244B"/>
    <w:rsid w:val="6A8C414E"/>
    <w:rsid w:val="6A95076A"/>
    <w:rsid w:val="6AA021E1"/>
    <w:rsid w:val="6AA25882"/>
    <w:rsid w:val="6AB57AAC"/>
    <w:rsid w:val="6AB8244B"/>
    <w:rsid w:val="6ABE605C"/>
    <w:rsid w:val="6AC326FD"/>
    <w:rsid w:val="6AC374A9"/>
    <w:rsid w:val="6AC56475"/>
    <w:rsid w:val="6ACF301A"/>
    <w:rsid w:val="6AD349DA"/>
    <w:rsid w:val="6AE17565"/>
    <w:rsid w:val="6AE87F9D"/>
    <w:rsid w:val="6AFB2C72"/>
    <w:rsid w:val="6B086362"/>
    <w:rsid w:val="6B0B6C2F"/>
    <w:rsid w:val="6B106FC5"/>
    <w:rsid w:val="6B122D3D"/>
    <w:rsid w:val="6B213FDA"/>
    <w:rsid w:val="6B2370D5"/>
    <w:rsid w:val="6B2A62D8"/>
    <w:rsid w:val="6B561AB6"/>
    <w:rsid w:val="6B766DE4"/>
    <w:rsid w:val="6B7C0A68"/>
    <w:rsid w:val="6B7C51E5"/>
    <w:rsid w:val="6B805580"/>
    <w:rsid w:val="6B8A44FA"/>
    <w:rsid w:val="6B8C59B3"/>
    <w:rsid w:val="6BA20565"/>
    <w:rsid w:val="6BBD7515"/>
    <w:rsid w:val="6BD157EF"/>
    <w:rsid w:val="6BE74F76"/>
    <w:rsid w:val="6BEF1FF3"/>
    <w:rsid w:val="6C46118B"/>
    <w:rsid w:val="6C5D7F6A"/>
    <w:rsid w:val="6C6B3CC6"/>
    <w:rsid w:val="6C6D09A2"/>
    <w:rsid w:val="6C811BF6"/>
    <w:rsid w:val="6CA10EFA"/>
    <w:rsid w:val="6CB829EE"/>
    <w:rsid w:val="6CBF3B7F"/>
    <w:rsid w:val="6CD22BD0"/>
    <w:rsid w:val="6CF73606"/>
    <w:rsid w:val="6D082649"/>
    <w:rsid w:val="6D0D7296"/>
    <w:rsid w:val="6D2B15EB"/>
    <w:rsid w:val="6D321474"/>
    <w:rsid w:val="6D403638"/>
    <w:rsid w:val="6D43223F"/>
    <w:rsid w:val="6D4E41F1"/>
    <w:rsid w:val="6D522923"/>
    <w:rsid w:val="6D723F67"/>
    <w:rsid w:val="6DA700B4"/>
    <w:rsid w:val="6DC21C84"/>
    <w:rsid w:val="6DCE5457"/>
    <w:rsid w:val="6DCF5216"/>
    <w:rsid w:val="6DD27A28"/>
    <w:rsid w:val="6DF2778B"/>
    <w:rsid w:val="6DFFA6C7"/>
    <w:rsid w:val="6E075FFC"/>
    <w:rsid w:val="6E081941"/>
    <w:rsid w:val="6E3161DE"/>
    <w:rsid w:val="6E3A0F28"/>
    <w:rsid w:val="6E3FAE36"/>
    <w:rsid w:val="6E443B55"/>
    <w:rsid w:val="6E4715B8"/>
    <w:rsid w:val="6E4771C6"/>
    <w:rsid w:val="6E54240F"/>
    <w:rsid w:val="6E640BFD"/>
    <w:rsid w:val="6E641B01"/>
    <w:rsid w:val="6E657628"/>
    <w:rsid w:val="6E763603"/>
    <w:rsid w:val="6E941F53"/>
    <w:rsid w:val="6E9A45F5"/>
    <w:rsid w:val="6EA04B62"/>
    <w:rsid w:val="6EB93CAA"/>
    <w:rsid w:val="6ECE7C74"/>
    <w:rsid w:val="6EE7212B"/>
    <w:rsid w:val="6EEE7AB6"/>
    <w:rsid w:val="6EF8464A"/>
    <w:rsid w:val="6EFE1770"/>
    <w:rsid w:val="6F00098F"/>
    <w:rsid w:val="6F10076A"/>
    <w:rsid w:val="6F12202F"/>
    <w:rsid w:val="6F343BCA"/>
    <w:rsid w:val="6F3F35E8"/>
    <w:rsid w:val="6F5B1817"/>
    <w:rsid w:val="6F7E7B76"/>
    <w:rsid w:val="6FAB7521"/>
    <w:rsid w:val="6FC2059F"/>
    <w:rsid w:val="6FD57E69"/>
    <w:rsid w:val="6FDD7DBD"/>
    <w:rsid w:val="6FDDCAC2"/>
    <w:rsid w:val="6FEC0AF7"/>
    <w:rsid w:val="6FF2313D"/>
    <w:rsid w:val="70451B0E"/>
    <w:rsid w:val="705341C3"/>
    <w:rsid w:val="707141F2"/>
    <w:rsid w:val="70CA1A48"/>
    <w:rsid w:val="70CC12B6"/>
    <w:rsid w:val="70DA0E08"/>
    <w:rsid w:val="70DC7647"/>
    <w:rsid w:val="70E402C9"/>
    <w:rsid w:val="710032F2"/>
    <w:rsid w:val="710E5EDF"/>
    <w:rsid w:val="713D7BBE"/>
    <w:rsid w:val="71473A67"/>
    <w:rsid w:val="714B361F"/>
    <w:rsid w:val="71517BC1"/>
    <w:rsid w:val="717C52DA"/>
    <w:rsid w:val="717F37A6"/>
    <w:rsid w:val="71864485"/>
    <w:rsid w:val="71922EE9"/>
    <w:rsid w:val="719F35F3"/>
    <w:rsid w:val="71C92D3B"/>
    <w:rsid w:val="71CA25C3"/>
    <w:rsid w:val="71D32F9F"/>
    <w:rsid w:val="71F94C57"/>
    <w:rsid w:val="7200003D"/>
    <w:rsid w:val="7220374A"/>
    <w:rsid w:val="72360529"/>
    <w:rsid w:val="72414F83"/>
    <w:rsid w:val="724A45D8"/>
    <w:rsid w:val="72501D1B"/>
    <w:rsid w:val="726245AA"/>
    <w:rsid w:val="72666991"/>
    <w:rsid w:val="72702A7D"/>
    <w:rsid w:val="727366C6"/>
    <w:rsid w:val="728032BF"/>
    <w:rsid w:val="72850EF0"/>
    <w:rsid w:val="728919DA"/>
    <w:rsid w:val="729251BC"/>
    <w:rsid w:val="729C4398"/>
    <w:rsid w:val="72B70A14"/>
    <w:rsid w:val="72CF78A8"/>
    <w:rsid w:val="72FFAE1D"/>
    <w:rsid w:val="731B2257"/>
    <w:rsid w:val="73283C31"/>
    <w:rsid w:val="73371391"/>
    <w:rsid w:val="733B7440"/>
    <w:rsid w:val="734A1BC2"/>
    <w:rsid w:val="7361297D"/>
    <w:rsid w:val="737A1DC7"/>
    <w:rsid w:val="738528F1"/>
    <w:rsid w:val="73AF4008"/>
    <w:rsid w:val="73E53AFE"/>
    <w:rsid w:val="73EC545D"/>
    <w:rsid w:val="73EED3DC"/>
    <w:rsid w:val="73F57E4D"/>
    <w:rsid w:val="74087741"/>
    <w:rsid w:val="740E25F9"/>
    <w:rsid w:val="741C4C39"/>
    <w:rsid w:val="741C7D0C"/>
    <w:rsid w:val="742F3B83"/>
    <w:rsid w:val="7445564D"/>
    <w:rsid w:val="745569DD"/>
    <w:rsid w:val="74595238"/>
    <w:rsid w:val="747915C9"/>
    <w:rsid w:val="747AA0A1"/>
    <w:rsid w:val="74B9390F"/>
    <w:rsid w:val="74CF70A9"/>
    <w:rsid w:val="74D6302D"/>
    <w:rsid w:val="74EEA77C"/>
    <w:rsid w:val="750201AC"/>
    <w:rsid w:val="750722DF"/>
    <w:rsid w:val="750F0599"/>
    <w:rsid w:val="757C5983"/>
    <w:rsid w:val="75842919"/>
    <w:rsid w:val="75A11A8C"/>
    <w:rsid w:val="75A97470"/>
    <w:rsid w:val="75D83866"/>
    <w:rsid w:val="75FE6CDF"/>
    <w:rsid w:val="75FFE3CE"/>
    <w:rsid w:val="761C5254"/>
    <w:rsid w:val="762103D0"/>
    <w:rsid w:val="762E265E"/>
    <w:rsid w:val="763E6A8D"/>
    <w:rsid w:val="76492676"/>
    <w:rsid w:val="76583A14"/>
    <w:rsid w:val="76677BCA"/>
    <w:rsid w:val="769B2768"/>
    <w:rsid w:val="769D02A6"/>
    <w:rsid w:val="76B98C15"/>
    <w:rsid w:val="76C80BEF"/>
    <w:rsid w:val="76C92E11"/>
    <w:rsid w:val="76E32E43"/>
    <w:rsid w:val="76E51579"/>
    <w:rsid w:val="76E90249"/>
    <w:rsid w:val="76FF6B4B"/>
    <w:rsid w:val="77066344"/>
    <w:rsid w:val="77152ED8"/>
    <w:rsid w:val="77220898"/>
    <w:rsid w:val="7735228D"/>
    <w:rsid w:val="7737DFA0"/>
    <w:rsid w:val="773D3837"/>
    <w:rsid w:val="77557D42"/>
    <w:rsid w:val="775766A7"/>
    <w:rsid w:val="777E5DC0"/>
    <w:rsid w:val="77A909F8"/>
    <w:rsid w:val="77AB11E2"/>
    <w:rsid w:val="77B42397"/>
    <w:rsid w:val="77B87C8B"/>
    <w:rsid w:val="77B91110"/>
    <w:rsid w:val="77BA09E4"/>
    <w:rsid w:val="77BE9408"/>
    <w:rsid w:val="77BF80FD"/>
    <w:rsid w:val="77D92096"/>
    <w:rsid w:val="77DE7A4B"/>
    <w:rsid w:val="77EC1C4C"/>
    <w:rsid w:val="77F5FFAE"/>
    <w:rsid w:val="77FB13D9"/>
    <w:rsid w:val="77FEC21F"/>
    <w:rsid w:val="783F06BA"/>
    <w:rsid w:val="786447AB"/>
    <w:rsid w:val="78746B0A"/>
    <w:rsid w:val="789F32EF"/>
    <w:rsid w:val="78A44DE9"/>
    <w:rsid w:val="78AA2C15"/>
    <w:rsid w:val="78BE0FF9"/>
    <w:rsid w:val="78BF5638"/>
    <w:rsid w:val="78C3642C"/>
    <w:rsid w:val="78D67905"/>
    <w:rsid w:val="78E8666B"/>
    <w:rsid w:val="78F91097"/>
    <w:rsid w:val="793F5FEC"/>
    <w:rsid w:val="79490272"/>
    <w:rsid w:val="7951381B"/>
    <w:rsid w:val="7954749F"/>
    <w:rsid w:val="79594916"/>
    <w:rsid w:val="79732587"/>
    <w:rsid w:val="797A0AB6"/>
    <w:rsid w:val="797F0137"/>
    <w:rsid w:val="798527E8"/>
    <w:rsid w:val="798C63B0"/>
    <w:rsid w:val="798E267C"/>
    <w:rsid w:val="799A702A"/>
    <w:rsid w:val="799C33A2"/>
    <w:rsid w:val="79BB7B93"/>
    <w:rsid w:val="79BFF651"/>
    <w:rsid w:val="79CC2551"/>
    <w:rsid w:val="79DD0319"/>
    <w:rsid w:val="79E23ED5"/>
    <w:rsid w:val="79EF1E68"/>
    <w:rsid w:val="7A002811"/>
    <w:rsid w:val="7A0138B5"/>
    <w:rsid w:val="7A2618BE"/>
    <w:rsid w:val="7A2C2BCE"/>
    <w:rsid w:val="7A4F18B8"/>
    <w:rsid w:val="7AC06891"/>
    <w:rsid w:val="7AC666C5"/>
    <w:rsid w:val="7AC84793"/>
    <w:rsid w:val="7AD038B6"/>
    <w:rsid w:val="7AD14B65"/>
    <w:rsid w:val="7AD55250"/>
    <w:rsid w:val="7AE75F94"/>
    <w:rsid w:val="7AF95535"/>
    <w:rsid w:val="7AFDF08A"/>
    <w:rsid w:val="7AFF984A"/>
    <w:rsid w:val="7B054B80"/>
    <w:rsid w:val="7B114D77"/>
    <w:rsid w:val="7B1A0DD3"/>
    <w:rsid w:val="7B1B5C45"/>
    <w:rsid w:val="7B3F8A41"/>
    <w:rsid w:val="7B4D2CA5"/>
    <w:rsid w:val="7B602578"/>
    <w:rsid w:val="7B62387C"/>
    <w:rsid w:val="7B6B71CF"/>
    <w:rsid w:val="7B6F1AE6"/>
    <w:rsid w:val="7B701E52"/>
    <w:rsid w:val="7B710055"/>
    <w:rsid w:val="7B7956A0"/>
    <w:rsid w:val="7B7FB05B"/>
    <w:rsid w:val="7B7FC8C5"/>
    <w:rsid w:val="7B8C4855"/>
    <w:rsid w:val="7BAF28D6"/>
    <w:rsid w:val="7BCD01DF"/>
    <w:rsid w:val="7BD70FE0"/>
    <w:rsid w:val="7BDB157D"/>
    <w:rsid w:val="7BE724B5"/>
    <w:rsid w:val="7BEFCACF"/>
    <w:rsid w:val="7BF211A7"/>
    <w:rsid w:val="7BF51871"/>
    <w:rsid w:val="7BFAE70B"/>
    <w:rsid w:val="7BFB6755"/>
    <w:rsid w:val="7C224876"/>
    <w:rsid w:val="7C333FF5"/>
    <w:rsid w:val="7C3F7DFB"/>
    <w:rsid w:val="7C417D04"/>
    <w:rsid w:val="7C5C650E"/>
    <w:rsid w:val="7C886642"/>
    <w:rsid w:val="7CB7092B"/>
    <w:rsid w:val="7CC7607D"/>
    <w:rsid w:val="7CFAF45A"/>
    <w:rsid w:val="7D055FB1"/>
    <w:rsid w:val="7D056BA5"/>
    <w:rsid w:val="7D073BAD"/>
    <w:rsid w:val="7D1F7D02"/>
    <w:rsid w:val="7D3357F3"/>
    <w:rsid w:val="7D5F41FC"/>
    <w:rsid w:val="7D6A6A08"/>
    <w:rsid w:val="7D730CC8"/>
    <w:rsid w:val="7D7C298F"/>
    <w:rsid w:val="7D7FA686"/>
    <w:rsid w:val="7D7FE304"/>
    <w:rsid w:val="7D952C8B"/>
    <w:rsid w:val="7D9B541A"/>
    <w:rsid w:val="7DBF3B0B"/>
    <w:rsid w:val="7DCD4E0F"/>
    <w:rsid w:val="7DDD4D24"/>
    <w:rsid w:val="7DE07113"/>
    <w:rsid w:val="7DE14CC5"/>
    <w:rsid w:val="7DFC3B04"/>
    <w:rsid w:val="7E063AD0"/>
    <w:rsid w:val="7E2D63B4"/>
    <w:rsid w:val="7E3A517E"/>
    <w:rsid w:val="7E4C23BA"/>
    <w:rsid w:val="7E582A16"/>
    <w:rsid w:val="7E5FE2D9"/>
    <w:rsid w:val="7E750E1A"/>
    <w:rsid w:val="7E7F1F0F"/>
    <w:rsid w:val="7E867872"/>
    <w:rsid w:val="7E8F5D9D"/>
    <w:rsid w:val="7E9F25E2"/>
    <w:rsid w:val="7EBA7130"/>
    <w:rsid w:val="7EBECF7B"/>
    <w:rsid w:val="7EC63973"/>
    <w:rsid w:val="7ED00AED"/>
    <w:rsid w:val="7ED60569"/>
    <w:rsid w:val="7ED76ECC"/>
    <w:rsid w:val="7EFE580C"/>
    <w:rsid w:val="7F0013D2"/>
    <w:rsid w:val="7F0C0DFF"/>
    <w:rsid w:val="7F132988"/>
    <w:rsid w:val="7F222FA3"/>
    <w:rsid w:val="7F634C9E"/>
    <w:rsid w:val="7F647237"/>
    <w:rsid w:val="7F7B387D"/>
    <w:rsid w:val="7F7F17BE"/>
    <w:rsid w:val="7F7FDFA0"/>
    <w:rsid w:val="7F7FE201"/>
    <w:rsid w:val="7F7FF2A4"/>
    <w:rsid w:val="7F8F2602"/>
    <w:rsid w:val="7FB59F26"/>
    <w:rsid w:val="7FBFB2B2"/>
    <w:rsid w:val="7FC39679"/>
    <w:rsid w:val="7FC91527"/>
    <w:rsid w:val="7FC9210C"/>
    <w:rsid w:val="7FCD27A6"/>
    <w:rsid w:val="7FE60C07"/>
    <w:rsid w:val="7FE8140D"/>
    <w:rsid w:val="7FED68E1"/>
    <w:rsid w:val="7FF7BAA2"/>
    <w:rsid w:val="7FF9ABF6"/>
    <w:rsid w:val="7FFEBAF2"/>
    <w:rsid w:val="7FFF3129"/>
    <w:rsid w:val="7FFF3331"/>
    <w:rsid w:val="7FFFF0A1"/>
    <w:rsid w:val="8DF56ED5"/>
    <w:rsid w:val="8E3EABB1"/>
    <w:rsid w:val="97FF71D7"/>
    <w:rsid w:val="9CE92E70"/>
    <w:rsid w:val="9DE70F86"/>
    <w:rsid w:val="9E6AE674"/>
    <w:rsid w:val="9EDFF963"/>
    <w:rsid w:val="9EEBBFE7"/>
    <w:rsid w:val="A1FB7B62"/>
    <w:rsid w:val="A57FC45E"/>
    <w:rsid w:val="A76BB958"/>
    <w:rsid w:val="A7E7CDF7"/>
    <w:rsid w:val="A93D881D"/>
    <w:rsid w:val="A9FBA9C7"/>
    <w:rsid w:val="AC2DF872"/>
    <w:rsid w:val="ADFB9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0" w:unhideWhenUsed="0" w:qFormat="1"/>
    <w:lsdException w:name="footnote text" w:qFormat="1"/>
    <w:lsdException w:name="annotation text" w:semiHidden="0" w:qFormat="1"/>
    <w:lsdException w:name="header" w:semiHidden="0" w:qFormat="1"/>
    <w:lsdException w:name="footer" w:semiHidden="0" w:qFormat="1"/>
    <w:lsdException w:name="caption" w:uiPriority="35" w:qFormat="1"/>
    <w:lsdException w:name="footnote reference" w:qFormat="1"/>
    <w:lsdException w:name="annotation reference" w:qFormat="1"/>
    <w:lsdException w:name="page number"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Date" w:qFormat="1"/>
    <w:lsdException w:name="Body Text First Inden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560" w:lineRule="exact"/>
    </w:pPr>
    <w:rPr>
      <w:rFonts w:asciiTheme="minorHAnsi" w:eastAsia="仿宋_GB2312" w:hAnsiTheme="minorHAnsi" w:cstheme="minorBidi"/>
      <w:kern w:val="2"/>
      <w:sz w:val="32"/>
      <w:szCs w:val="24"/>
      <w14:ligatures w14:val="standardContextual"/>
    </w:rPr>
  </w:style>
  <w:style w:type="paragraph" w:styleId="1">
    <w:name w:val="heading 1"/>
    <w:basedOn w:val="a"/>
    <w:next w:val="a"/>
    <w:link w:val="1Char"/>
    <w:uiPriority w:val="9"/>
    <w:qFormat/>
    <w:pPr>
      <w:adjustRightInd w:val="0"/>
      <w:snapToGrid w:val="0"/>
      <w:outlineLvl w:val="0"/>
    </w:pPr>
    <w:rPr>
      <w:rFonts w:ascii="仿宋_GB2312" w:eastAsia="黑体" w:hAnsi="仿宋_GB2312" w:cs="黑体"/>
      <w:b/>
      <w:bCs/>
      <w:kern w:val="44"/>
      <w:szCs w:val="30"/>
      <w14:ligatures w14:val="none"/>
    </w:rPr>
  </w:style>
  <w:style w:type="paragraph" w:styleId="2">
    <w:name w:val="heading 2"/>
    <w:basedOn w:val="a"/>
    <w:next w:val="a"/>
    <w:link w:val="2Char"/>
    <w:uiPriority w:val="9"/>
    <w:unhideWhenUsed/>
    <w:qFormat/>
    <w:pPr>
      <w:adjustRightInd w:val="0"/>
      <w:snapToGrid w:val="0"/>
      <w:ind w:firstLineChars="200" w:firstLine="643"/>
      <w:jc w:val="both"/>
      <w:outlineLvl w:val="1"/>
    </w:pPr>
    <w:rPr>
      <w:rFonts w:ascii="楷体" w:eastAsia="楷体_GB2312" w:hAnsi="楷体" w:cs="楷体"/>
      <w:b/>
      <w:bCs/>
      <w:szCs w:val="32"/>
      <w14:ligatures w14:val="none"/>
    </w:rPr>
  </w:style>
  <w:style w:type="paragraph" w:styleId="3">
    <w:name w:val="heading 3"/>
    <w:basedOn w:val="a"/>
    <w:next w:val="a"/>
    <w:link w:val="3Char"/>
    <w:uiPriority w:val="9"/>
    <w:unhideWhenUsed/>
    <w:qFormat/>
    <w:pPr>
      <w:keepNext/>
      <w:keepLines/>
      <w:outlineLvl w:val="2"/>
    </w:pPr>
    <w:rPr>
      <w:rFonts w:asciiTheme="majorHAnsi" w:hAnsiTheme="majorHAnsi" w:cstheme="majorBidi"/>
      <w:b/>
      <w:color w:val="000000" w:themeColor="text1"/>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semiHidden/>
    <w:unhideWhenUsed/>
    <w:qFormat/>
    <w:pPr>
      <w:ind w:left="1320"/>
    </w:pPr>
    <w:rPr>
      <w:rFonts w:eastAsiaTheme="minorHAnsi"/>
      <w:sz w:val="18"/>
      <w:szCs w:val="18"/>
    </w:rPr>
  </w:style>
  <w:style w:type="paragraph" w:styleId="a3">
    <w:name w:val="Normal Indent"/>
    <w:basedOn w:val="a"/>
    <w:uiPriority w:val="99"/>
    <w:qFormat/>
    <w:rPr>
      <w:rFonts w:cs="宋体"/>
    </w:rPr>
  </w:style>
  <w:style w:type="paragraph" w:styleId="a4">
    <w:name w:val="annotation text"/>
    <w:basedOn w:val="a"/>
    <w:link w:val="Char"/>
    <w:uiPriority w:val="99"/>
    <w:unhideWhenUsed/>
    <w:qFormat/>
  </w:style>
  <w:style w:type="paragraph" w:styleId="a5">
    <w:name w:val="Body Text"/>
    <w:basedOn w:val="a"/>
    <w:qFormat/>
    <w:pPr>
      <w:spacing w:after="120"/>
    </w:pPr>
    <w:rPr>
      <w:rFonts w:cs="仿宋_GB2312"/>
      <w:szCs w:val="32"/>
    </w:rPr>
  </w:style>
  <w:style w:type="paragraph" w:styleId="a6">
    <w:name w:val="Body Text Indent"/>
    <w:basedOn w:val="a"/>
    <w:qFormat/>
    <w:pPr>
      <w:spacing w:after="120"/>
      <w:ind w:leftChars="200" w:left="420"/>
    </w:pPr>
  </w:style>
  <w:style w:type="paragraph" w:styleId="50">
    <w:name w:val="toc 5"/>
    <w:basedOn w:val="a"/>
    <w:next w:val="a"/>
    <w:uiPriority w:val="39"/>
    <w:semiHidden/>
    <w:unhideWhenUsed/>
    <w:qFormat/>
    <w:pPr>
      <w:ind w:left="880"/>
    </w:pPr>
    <w:rPr>
      <w:rFonts w:eastAsiaTheme="minorHAnsi"/>
      <w:sz w:val="18"/>
      <w:szCs w:val="18"/>
    </w:rPr>
  </w:style>
  <w:style w:type="paragraph" w:styleId="30">
    <w:name w:val="toc 3"/>
    <w:basedOn w:val="a"/>
    <w:next w:val="a"/>
    <w:uiPriority w:val="39"/>
    <w:unhideWhenUsed/>
    <w:qFormat/>
    <w:pPr>
      <w:ind w:left="440"/>
    </w:pPr>
    <w:rPr>
      <w:rFonts w:eastAsiaTheme="minorHAnsi"/>
      <w:i/>
      <w:iCs/>
      <w:sz w:val="20"/>
      <w:szCs w:val="20"/>
    </w:rPr>
  </w:style>
  <w:style w:type="paragraph" w:styleId="80">
    <w:name w:val="toc 8"/>
    <w:basedOn w:val="a"/>
    <w:next w:val="a"/>
    <w:uiPriority w:val="39"/>
    <w:semiHidden/>
    <w:unhideWhenUsed/>
    <w:qFormat/>
    <w:pPr>
      <w:ind w:left="1540"/>
    </w:pPr>
    <w:rPr>
      <w:rFonts w:eastAsiaTheme="minorHAnsi"/>
      <w:sz w:val="18"/>
      <w:szCs w:val="18"/>
    </w:rPr>
  </w:style>
  <w:style w:type="paragraph" w:styleId="a7">
    <w:name w:val="Date"/>
    <w:basedOn w:val="a"/>
    <w:next w:val="a"/>
    <w:link w:val="Char0"/>
    <w:uiPriority w:val="99"/>
    <w:semiHidden/>
    <w:unhideWhenUsed/>
    <w:qFormat/>
    <w:pPr>
      <w:ind w:leftChars="2500" w:left="100"/>
    </w:pPr>
  </w:style>
  <w:style w:type="paragraph" w:styleId="a8">
    <w:name w:val="footer"/>
    <w:basedOn w:val="a"/>
    <w:link w:val="Char1"/>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Char2"/>
    <w:uiPriority w:val="99"/>
    <w:unhideWhenUsed/>
    <w:qFormat/>
    <w:pPr>
      <w:tabs>
        <w:tab w:val="center" w:pos="4153"/>
        <w:tab w:val="right" w:pos="8306"/>
      </w:tabs>
      <w:snapToGrid w:val="0"/>
      <w:spacing w:line="240" w:lineRule="auto"/>
      <w:jc w:val="center"/>
    </w:pPr>
    <w:rPr>
      <w:sz w:val="18"/>
      <w:szCs w:val="18"/>
    </w:rPr>
  </w:style>
  <w:style w:type="paragraph" w:styleId="10">
    <w:name w:val="toc 1"/>
    <w:basedOn w:val="a"/>
    <w:next w:val="a"/>
    <w:uiPriority w:val="39"/>
    <w:unhideWhenUsed/>
    <w:qFormat/>
    <w:pPr>
      <w:tabs>
        <w:tab w:val="right" w:leader="dot" w:pos="8296"/>
      </w:tabs>
      <w:spacing w:line="480" w:lineRule="exact"/>
    </w:pPr>
    <w:rPr>
      <w:rFonts w:ascii="黑体" w:eastAsia="黑体" w:hAnsi="黑体"/>
      <w:b/>
      <w:bCs/>
      <w:caps/>
      <w:sz w:val="30"/>
      <w:szCs w:val="30"/>
    </w:rPr>
  </w:style>
  <w:style w:type="paragraph" w:styleId="40">
    <w:name w:val="toc 4"/>
    <w:basedOn w:val="a"/>
    <w:next w:val="a"/>
    <w:uiPriority w:val="39"/>
    <w:semiHidden/>
    <w:unhideWhenUsed/>
    <w:qFormat/>
    <w:pPr>
      <w:ind w:left="660"/>
    </w:pPr>
    <w:rPr>
      <w:rFonts w:eastAsiaTheme="minorHAnsi"/>
      <w:sz w:val="18"/>
      <w:szCs w:val="18"/>
    </w:rPr>
  </w:style>
  <w:style w:type="paragraph" w:styleId="aa">
    <w:name w:val="Subtitle"/>
    <w:basedOn w:val="a"/>
    <w:next w:val="a"/>
    <w:link w:val="Char3"/>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footnote text"/>
    <w:basedOn w:val="a"/>
    <w:uiPriority w:val="99"/>
    <w:semiHidden/>
    <w:unhideWhenUsed/>
    <w:qFormat/>
    <w:pPr>
      <w:snapToGrid w:val="0"/>
    </w:pPr>
    <w:rPr>
      <w:sz w:val="18"/>
      <w:szCs w:val="18"/>
    </w:rPr>
  </w:style>
  <w:style w:type="paragraph" w:styleId="60">
    <w:name w:val="toc 6"/>
    <w:basedOn w:val="a"/>
    <w:next w:val="a"/>
    <w:uiPriority w:val="39"/>
    <w:semiHidden/>
    <w:unhideWhenUsed/>
    <w:qFormat/>
    <w:pPr>
      <w:ind w:left="1100"/>
    </w:pPr>
    <w:rPr>
      <w:rFonts w:eastAsiaTheme="minorHAnsi"/>
      <w:sz w:val="18"/>
      <w:szCs w:val="18"/>
    </w:rPr>
  </w:style>
  <w:style w:type="paragraph" w:styleId="20">
    <w:name w:val="toc 2"/>
    <w:basedOn w:val="a"/>
    <w:next w:val="a"/>
    <w:uiPriority w:val="39"/>
    <w:unhideWhenUsed/>
    <w:qFormat/>
    <w:pPr>
      <w:tabs>
        <w:tab w:val="right" w:leader="dot" w:pos="8296"/>
      </w:tabs>
      <w:ind w:left="220"/>
    </w:pPr>
    <w:rPr>
      <w:rFonts w:ascii="仿宋_GB2312" w:hAnsi="仿宋_GB2312" w:cs="楷体_GB2312"/>
      <w:smallCaps/>
      <w:sz w:val="28"/>
      <w:szCs w:val="28"/>
      <w14:ligatures w14:val="none"/>
    </w:rPr>
  </w:style>
  <w:style w:type="paragraph" w:styleId="90">
    <w:name w:val="toc 9"/>
    <w:basedOn w:val="a"/>
    <w:next w:val="a"/>
    <w:uiPriority w:val="39"/>
    <w:semiHidden/>
    <w:unhideWhenUsed/>
    <w:qFormat/>
    <w:pPr>
      <w:ind w:left="1760"/>
    </w:pPr>
    <w:rPr>
      <w:rFonts w:eastAsiaTheme="minorHAnsi"/>
      <w:sz w:val="18"/>
      <w:szCs w:val="18"/>
    </w:rPr>
  </w:style>
  <w:style w:type="paragraph" w:styleId="ac">
    <w:name w:val="Normal (Web)"/>
    <w:basedOn w:val="a"/>
    <w:uiPriority w:val="99"/>
    <w:semiHidden/>
    <w:unhideWhenUsed/>
    <w:qFormat/>
    <w:pPr>
      <w:widowControl/>
      <w:spacing w:before="100" w:beforeAutospacing="1" w:after="100" w:afterAutospacing="1" w:line="240" w:lineRule="auto"/>
    </w:pPr>
    <w:rPr>
      <w:rFonts w:ascii="宋体" w:eastAsia="宋体" w:hAnsi="宋体" w:cs="宋体"/>
      <w:kern w:val="0"/>
      <w:sz w:val="24"/>
      <w14:ligatures w14:val="none"/>
    </w:rPr>
  </w:style>
  <w:style w:type="paragraph" w:styleId="ad">
    <w:name w:val="Title"/>
    <w:basedOn w:val="a"/>
    <w:next w:val="a"/>
    <w:link w:val="Char4"/>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4"/>
    <w:next w:val="a4"/>
    <w:link w:val="Char5"/>
    <w:uiPriority w:val="99"/>
    <w:semiHidden/>
    <w:unhideWhenUsed/>
    <w:qFormat/>
    <w:rPr>
      <w:b/>
      <w:bCs/>
    </w:rPr>
  </w:style>
  <w:style w:type="paragraph" w:styleId="21">
    <w:name w:val="Body Text First Indent 2"/>
    <w:basedOn w:val="a6"/>
    <w:next w:val="a"/>
    <w:qFormat/>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bCs/>
    </w:rPr>
  </w:style>
  <w:style w:type="character" w:styleId="af1">
    <w:name w:val="page number"/>
    <w:basedOn w:val="a0"/>
    <w:uiPriority w:val="99"/>
    <w:semiHidden/>
    <w:unhideWhenUsed/>
    <w:qFormat/>
  </w:style>
  <w:style w:type="character" w:styleId="af2">
    <w:name w:val="Emphasis"/>
    <w:basedOn w:val="a0"/>
    <w:uiPriority w:val="20"/>
    <w:qFormat/>
    <w:rPr>
      <w:i/>
    </w:rPr>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styleId="af5">
    <w:name w:val="footnote reference"/>
    <w:basedOn w:val="a0"/>
    <w:uiPriority w:val="99"/>
    <w:semiHidden/>
    <w:unhideWhenUsed/>
    <w:qFormat/>
    <w:rPr>
      <w:vertAlign w:val="superscript"/>
    </w:rPr>
  </w:style>
  <w:style w:type="paragraph" w:customStyle="1" w:styleId="BodyText">
    <w:name w:val="BodyText"/>
    <w:basedOn w:val="a"/>
    <w:qFormat/>
    <w:pPr>
      <w:spacing w:after="120"/>
    </w:pPr>
  </w:style>
  <w:style w:type="character" w:customStyle="1" w:styleId="1Char">
    <w:name w:val="标题 1 Char"/>
    <w:basedOn w:val="a0"/>
    <w:link w:val="1"/>
    <w:uiPriority w:val="9"/>
    <w:qFormat/>
    <w:rPr>
      <w:rFonts w:ascii="仿宋_GB2312" w:eastAsia="黑体" w:hAnsi="仿宋_GB2312" w:cs="黑体"/>
      <w:b/>
      <w:bCs/>
      <w:kern w:val="44"/>
      <w:sz w:val="32"/>
      <w:szCs w:val="30"/>
    </w:rPr>
  </w:style>
  <w:style w:type="character" w:customStyle="1" w:styleId="2Char">
    <w:name w:val="标题 2 Char"/>
    <w:basedOn w:val="a0"/>
    <w:link w:val="2"/>
    <w:uiPriority w:val="9"/>
    <w:qFormat/>
    <w:rPr>
      <w:rFonts w:ascii="楷体" w:eastAsia="楷体_GB2312" w:hAnsi="楷体" w:cs="楷体"/>
      <w:b/>
      <w:bCs/>
      <w:kern w:val="2"/>
      <w:sz w:val="32"/>
      <w:szCs w:val="32"/>
    </w:rPr>
  </w:style>
  <w:style w:type="character" w:customStyle="1" w:styleId="3Char">
    <w:name w:val="标题 3 Char"/>
    <w:basedOn w:val="a0"/>
    <w:link w:val="3"/>
    <w:uiPriority w:val="9"/>
    <w:qFormat/>
    <w:rPr>
      <w:rFonts w:asciiTheme="majorHAnsi" w:eastAsia="仿宋_GB2312" w:hAnsiTheme="majorHAnsi" w:cstheme="majorBidi"/>
      <w:b/>
      <w:color w:val="000000" w:themeColor="text1"/>
      <w:kern w:val="2"/>
      <w:sz w:val="32"/>
      <w:szCs w:val="32"/>
      <w14:ligatures w14:val="standardContextual"/>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d"/>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f6">
    <w:name w:val="Quote"/>
    <w:basedOn w:val="a"/>
    <w:next w:val="a"/>
    <w:link w:val="Char6"/>
    <w:uiPriority w:val="29"/>
    <w:qFormat/>
    <w:pPr>
      <w:spacing w:before="160"/>
      <w:jc w:val="center"/>
    </w:pPr>
    <w:rPr>
      <w:i/>
      <w:iCs/>
      <w:color w:val="404040" w:themeColor="text1" w:themeTint="BF"/>
    </w:rPr>
  </w:style>
  <w:style w:type="character" w:customStyle="1" w:styleId="Char6">
    <w:name w:val="引用 Char"/>
    <w:basedOn w:val="a0"/>
    <w:link w:val="af6"/>
    <w:uiPriority w:val="29"/>
    <w:qFormat/>
    <w:rPr>
      <w:i/>
      <w:iCs/>
      <w:color w:val="404040" w:themeColor="text1" w:themeTint="BF"/>
    </w:rPr>
  </w:style>
  <w:style w:type="paragraph" w:styleId="af7">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8">
    <w:name w:val="Intense Quote"/>
    <w:basedOn w:val="a"/>
    <w:next w:val="a"/>
    <w:link w:val="Char7"/>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7">
    <w:name w:val="明显引用 Char"/>
    <w:basedOn w:val="a0"/>
    <w:link w:val="af8"/>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Char0">
    <w:name w:val="日期 Char"/>
    <w:basedOn w:val="a0"/>
    <w:link w:val="a7"/>
    <w:uiPriority w:val="99"/>
    <w:semiHidden/>
    <w:qFormat/>
  </w:style>
  <w:style w:type="character" w:customStyle="1" w:styleId="button-container">
    <w:name w:val="button-container"/>
    <w:basedOn w:val="a0"/>
    <w:qFormat/>
  </w:style>
  <w:style w:type="character" w:customStyle="1" w:styleId="Char2">
    <w:name w:val="页眉 Char"/>
    <w:basedOn w:val="a0"/>
    <w:link w:val="a9"/>
    <w:uiPriority w:val="99"/>
    <w:qFormat/>
    <w:rPr>
      <w:sz w:val="18"/>
      <w:szCs w:val="18"/>
    </w:rPr>
  </w:style>
  <w:style w:type="character" w:customStyle="1" w:styleId="Char1">
    <w:name w:val="页脚 Char"/>
    <w:basedOn w:val="a0"/>
    <w:link w:val="a8"/>
    <w:uiPriority w:val="99"/>
    <w:qFormat/>
    <w:rPr>
      <w:sz w:val="18"/>
      <w:szCs w:val="18"/>
    </w:rPr>
  </w:style>
  <w:style w:type="character" w:customStyle="1" w:styleId="Char">
    <w:name w:val="批注文字 Char"/>
    <w:basedOn w:val="a0"/>
    <w:link w:val="a4"/>
    <w:uiPriority w:val="99"/>
    <w:qFormat/>
  </w:style>
  <w:style w:type="character" w:customStyle="1" w:styleId="Char5">
    <w:name w:val="批注主题 Char"/>
    <w:basedOn w:val="Char"/>
    <w:link w:val="ae"/>
    <w:uiPriority w:val="99"/>
    <w:semiHidden/>
    <w:qFormat/>
    <w:rPr>
      <w:b/>
      <w:bCs/>
    </w:rPr>
  </w:style>
  <w:style w:type="paragraph" w:customStyle="1" w:styleId="TOC1">
    <w:name w:val="TOC 标题1"/>
    <w:basedOn w:val="1"/>
    <w:next w:val="a"/>
    <w:uiPriority w:val="39"/>
    <w:unhideWhenUsed/>
    <w:qFormat/>
    <w:pPr>
      <w:keepNext/>
      <w:keepLines/>
      <w:widowControl/>
      <w:adjustRightInd/>
      <w:snapToGrid/>
      <w:spacing w:before="480" w:line="276" w:lineRule="auto"/>
      <w:outlineLvl w:val="9"/>
    </w:pPr>
    <w:rPr>
      <w:rFonts w:asciiTheme="majorHAnsi" w:eastAsiaTheme="majorEastAsia" w:hAnsiTheme="majorHAnsi" w:cstheme="majorBidi"/>
      <w:color w:val="2F5496" w:themeColor="accent1" w:themeShade="BF"/>
      <w:kern w:val="0"/>
      <w:sz w:val="28"/>
      <w:szCs w:val="28"/>
    </w:rPr>
  </w:style>
  <w:style w:type="character" w:customStyle="1" w:styleId="13">
    <w:name w:val="未处理的提及1"/>
    <w:basedOn w:val="a0"/>
    <w:uiPriority w:val="99"/>
    <w:semiHidden/>
    <w:unhideWhenUsed/>
    <w:qFormat/>
    <w:rPr>
      <w:color w:val="605E5C"/>
      <w:shd w:val="clear" w:color="auto" w:fill="E1DFDD"/>
    </w:rPr>
  </w:style>
  <w:style w:type="paragraph" w:customStyle="1" w:styleId="14">
    <w:name w:val="修订1"/>
    <w:hidden/>
    <w:uiPriority w:val="99"/>
    <w:unhideWhenUsed/>
    <w:qFormat/>
    <w:pPr>
      <w:spacing w:after="160" w:line="278" w:lineRule="auto"/>
    </w:pPr>
    <w:rPr>
      <w:rFonts w:asciiTheme="minorHAnsi" w:eastAsiaTheme="minorEastAsia" w:hAnsiTheme="minorHAnsi" w:cstheme="minorBidi"/>
      <w:kern w:val="2"/>
      <w:sz w:val="22"/>
      <w:szCs w:val="24"/>
      <w14:ligatures w14:val="standardContextual"/>
    </w:rPr>
  </w:style>
  <w:style w:type="paragraph" w:customStyle="1" w:styleId="af9">
    <w:name w:val="专栏题目"/>
    <w:basedOn w:val="afa"/>
    <w:next w:val="afb"/>
    <w:qFormat/>
    <w:pPr>
      <w:keepNext/>
      <w:keepLines/>
      <w:widowControl w:val="0"/>
      <w:spacing w:line="240" w:lineRule="auto"/>
    </w:pPr>
    <w:rPr>
      <w:rFonts w:eastAsia="黑体"/>
      <w:sz w:val="30"/>
    </w:rPr>
  </w:style>
  <w:style w:type="paragraph" w:customStyle="1" w:styleId="afa">
    <w:name w:val="文稿题目"/>
    <w:next w:val="a"/>
    <w:qFormat/>
    <w:pPr>
      <w:snapToGrid w:val="0"/>
      <w:spacing w:after="160" w:line="594" w:lineRule="exact"/>
      <w:jc w:val="center"/>
    </w:pPr>
    <w:rPr>
      <w:rFonts w:eastAsia="方正小标宋_GBK"/>
      <w:bCs/>
      <w:kern w:val="2"/>
      <w:sz w:val="40"/>
      <w:szCs w:val="32"/>
    </w:rPr>
  </w:style>
  <w:style w:type="paragraph" w:customStyle="1" w:styleId="afb">
    <w:name w:val="专栏正文"/>
    <w:basedOn w:val="a"/>
    <w:qFormat/>
    <w:pPr>
      <w:spacing w:line="240" w:lineRule="auto"/>
      <w:ind w:firstLine="560"/>
    </w:pPr>
    <w:rPr>
      <w:rFonts w:eastAsia="楷体_GB2312" w:cs="楷体_GB2312"/>
      <w:sz w:val="28"/>
    </w:rPr>
  </w:style>
  <w:style w:type="paragraph" w:customStyle="1" w:styleId="afc">
    <w:name w:val="图名/表"/>
    <w:basedOn w:val="a"/>
    <w:next w:val="a"/>
    <w:qFormat/>
    <w:pPr>
      <w:keepLines/>
      <w:spacing w:line="240" w:lineRule="auto"/>
      <w:jc w:val="center"/>
    </w:pPr>
    <w:rPr>
      <w:rFonts w:eastAsia="楷体_GB2312"/>
      <w:sz w:val="28"/>
    </w:rPr>
  </w:style>
  <w:style w:type="paragraph" w:customStyle="1" w:styleId="22">
    <w:name w:val="修订2"/>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31">
    <w:name w:val="修订3"/>
    <w:hidden/>
    <w:uiPriority w:val="99"/>
    <w:unhideWhenUsed/>
    <w:qFormat/>
    <w:rPr>
      <w:rFonts w:asciiTheme="minorHAnsi" w:eastAsiaTheme="minorEastAsia" w:hAnsiTheme="minorHAnsi" w:cstheme="minorBidi"/>
      <w:kern w:val="2"/>
      <w:sz w:val="22"/>
      <w:szCs w:val="24"/>
      <w14:ligatures w14:val="standardContextual"/>
    </w:rPr>
  </w:style>
  <w:style w:type="character" w:customStyle="1" w:styleId="font121">
    <w:name w:val="font121"/>
    <w:basedOn w:val="a0"/>
    <w:qFormat/>
    <w:rPr>
      <w:rFonts w:ascii="Arial" w:hAnsi="Arial" w:cs="Arial"/>
      <w:b/>
      <w:bCs/>
      <w:color w:val="000000"/>
      <w:sz w:val="24"/>
      <w:szCs w:val="24"/>
      <w:u w:val="none"/>
    </w:rPr>
  </w:style>
  <w:style w:type="character" w:customStyle="1" w:styleId="font81">
    <w:name w:val="font81"/>
    <w:basedOn w:val="a0"/>
    <w:qFormat/>
    <w:rPr>
      <w:rFonts w:ascii="仿宋_GB2312" w:eastAsia="仿宋_GB2312" w:cs="仿宋_GB2312" w:hint="eastAsia"/>
      <w:color w:val="000000"/>
      <w:sz w:val="24"/>
      <w:szCs w:val="24"/>
      <w:u w:val="none"/>
    </w:rPr>
  </w:style>
  <w:style w:type="character" w:customStyle="1" w:styleId="font71">
    <w:name w:val="font71"/>
    <w:basedOn w:val="a0"/>
    <w:qFormat/>
    <w:rPr>
      <w:rFonts w:ascii="宋体" w:eastAsia="宋体" w:hAnsi="宋体" w:cs="宋体" w:hint="eastAsia"/>
      <w:b/>
      <w:bCs/>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31">
    <w:name w:val="font31"/>
    <w:basedOn w:val="a0"/>
    <w:qFormat/>
    <w:rPr>
      <w:rFonts w:ascii="仿宋_GB2312" w:eastAsia="仿宋_GB2312" w:cs="仿宋_GB2312" w:hint="eastAsia"/>
      <w:color w:val="000000"/>
      <w:sz w:val="24"/>
      <w:szCs w:val="24"/>
      <w:u w:val="none"/>
    </w:rPr>
  </w:style>
  <w:style w:type="character" w:customStyle="1" w:styleId="font51">
    <w:name w:val="font51"/>
    <w:basedOn w:val="a0"/>
    <w:qFormat/>
    <w:rPr>
      <w:rFonts w:ascii="宋体" w:eastAsia="宋体" w:hAnsi="宋体" w:cs="宋体" w:hint="eastAsia"/>
      <w:b/>
      <w:bCs/>
      <w:color w:val="000000"/>
      <w:sz w:val="22"/>
      <w:szCs w:val="22"/>
      <w:u w:val="none"/>
    </w:rPr>
  </w:style>
  <w:style w:type="character" w:customStyle="1" w:styleId="font21">
    <w:name w:val="font21"/>
    <w:basedOn w:val="a0"/>
    <w:qFormat/>
    <w:rPr>
      <w:rFonts w:ascii="宋体" w:eastAsia="宋体" w:hAnsi="宋体" w:cs="宋体" w:hint="eastAsia"/>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0" w:unhideWhenUsed="0" w:qFormat="1"/>
    <w:lsdException w:name="footnote text" w:qFormat="1"/>
    <w:lsdException w:name="annotation text" w:semiHidden="0" w:qFormat="1"/>
    <w:lsdException w:name="header" w:semiHidden="0" w:qFormat="1"/>
    <w:lsdException w:name="footer" w:semiHidden="0" w:qFormat="1"/>
    <w:lsdException w:name="caption" w:uiPriority="35" w:qFormat="1"/>
    <w:lsdException w:name="footnote reference" w:qFormat="1"/>
    <w:lsdException w:name="annotation reference" w:qFormat="1"/>
    <w:lsdException w:name="page number"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Date" w:qFormat="1"/>
    <w:lsdException w:name="Body Text First Inden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560" w:lineRule="exact"/>
    </w:pPr>
    <w:rPr>
      <w:rFonts w:asciiTheme="minorHAnsi" w:eastAsia="仿宋_GB2312" w:hAnsiTheme="minorHAnsi" w:cstheme="minorBidi"/>
      <w:kern w:val="2"/>
      <w:sz w:val="32"/>
      <w:szCs w:val="24"/>
      <w14:ligatures w14:val="standardContextual"/>
    </w:rPr>
  </w:style>
  <w:style w:type="paragraph" w:styleId="1">
    <w:name w:val="heading 1"/>
    <w:basedOn w:val="a"/>
    <w:next w:val="a"/>
    <w:link w:val="1Char"/>
    <w:uiPriority w:val="9"/>
    <w:qFormat/>
    <w:pPr>
      <w:adjustRightInd w:val="0"/>
      <w:snapToGrid w:val="0"/>
      <w:outlineLvl w:val="0"/>
    </w:pPr>
    <w:rPr>
      <w:rFonts w:ascii="仿宋_GB2312" w:eastAsia="黑体" w:hAnsi="仿宋_GB2312" w:cs="黑体"/>
      <w:b/>
      <w:bCs/>
      <w:kern w:val="44"/>
      <w:szCs w:val="30"/>
      <w14:ligatures w14:val="none"/>
    </w:rPr>
  </w:style>
  <w:style w:type="paragraph" w:styleId="2">
    <w:name w:val="heading 2"/>
    <w:basedOn w:val="a"/>
    <w:next w:val="a"/>
    <w:link w:val="2Char"/>
    <w:uiPriority w:val="9"/>
    <w:unhideWhenUsed/>
    <w:qFormat/>
    <w:pPr>
      <w:adjustRightInd w:val="0"/>
      <w:snapToGrid w:val="0"/>
      <w:ind w:firstLineChars="200" w:firstLine="643"/>
      <w:jc w:val="both"/>
      <w:outlineLvl w:val="1"/>
    </w:pPr>
    <w:rPr>
      <w:rFonts w:ascii="楷体" w:eastAsia="楷体_GB2312" w:hAnsi="楷体" w:cs="楷体"/>
      <w:b/>
      <w:bCs/>
      <w:szCs w:val="32"/>
      <w14:ligatures w14:val="none"/>
    </w:rPr>
  </w:style>
  <w:style w:type="paragraph" w:styleId="3">
    <w:name w:val="heading 3"/>
    <w:basedOn w:val="a"/>
    <w:next w:val="a"/>
    <w:link w:val="3Char"/>
    <w:uiPriority w:val="9"/>
    <w:unhideWhenUsed/>
    <w:qFormat/>
    <w:pPr>
      <w:keepNext/>
      <w:keepLines/>
      <w:outlineLvl w:val="2"/>
    </w:pPr>
    <w:rPr>
      <w:rFonts w:asciiTheme="majorHAnsi" w:hAnsiTheme="majorHAnsi" w:cstheme="majorBidi"/>
      <w:b/>
      <w:color w:val="000000" w:themeColor="text1"/>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semiHidden/>
    <w:unhideWhenUsed/>
    <w:qFormat/>
    <w:pPr>
      <w:ind w:left="1320"/>
    </w:pPr>
    <w:rPr>
      <w:rFonts w:eastAsiaTheme="minorHAnsi"/>
      <w:sz w:val="18"/>
      <w:szCs w:val="18"/>
    </w:rPr>
  </w:style>
  <w:style w:type="paragraph" w:styleId="a3">
    <w:name w:val="Normal Indent"/>
    <w:basedOn w:val="a"/>
    <w:uiPriority w:val="99"/>
    <w:qFormat/>
    <w:rPr>
      <w:rFonts w:cs="宋体"/>
    </w:rPr>
  </w:style>
  <w:style w:type="paragraph" w:styleId="a4">
    <w:name w:val="annotation text"/>
    <w:basedOn w:val="a"/>
    <w:link w:val="Char"/>
    <w:uiPriority w:val="99"/>
    <w:unhideWhenUsed/>
    <w:qFormat/>
  </w:style>
  <w:style w:type="paragraph" w:styleId="a5">
    <w:name w:val="Body Text"/>
    <w:basedOn w:val="a"/>
    <w:qFormat/>
    <w:pPr>
      <w:spacing w:after="120"/>
    </w:pPr>
    <w:rPr>
      <w:rFonts w:cs="仿宋_GB2312"/>
      <w:szCs w:val="32"/>
    </w:rPr>
  </w:style>
  <w:style w:type="paragraph" w:styleId="a6">
    <w:name w:val="Body Text Indent"/>
    <w:basedOn w:val="a"/>
    <w:qFormat/>
    <w:pPr>
      <w:spacing w:after="120"/>
      <w:ind w:leftChars="200" w:left="420"/>
    </w:pPr>
  </w:style>
  <w:style w:type="paragraph" w:styleId="50">
    <w:name w:val="toc 5"/>
    <w:basedOn w:val="a"/>
    <w:next w:val="a"/>
    <w:uiPriority w:val="39"/>
    <w:semiHidden/>
    <w:unhideWhenUsed/>
    <w:qFormat/>
    <w:pPr>
      <w:ind w:left="880"/>
    </w:pPr>
    <w:rPr>
      <w:rFonts w:eastAsiaTheme="minorHAnsi"/>
      <w:sz w:val="18"/>
      <w:szCs w:val="18"/>
    </w:rPr>
  </w:style>
  <w:style w:type="paragraph" w:styleId="30">
    <w:name w:val="toc 3"/>
    <w:basedOn w:val="a"/>
    <w:next w:val="a"/>
    <w:uiPriority w:val="39"/>
    <w:unhideWhenUsed/>
    <w:qFormat/>
    <w:pPr>
      <w:ind w:left="440"/>
    </w:pPr>
    <w:rPr>
      <w:rFonts w:eastAsiaTheme="minorHAnsi"/>
      <w:i/>
      <w:iCs/>
      <w:sz w:val="20"/>
      <w:szCs w:val="20"/>
    </w:rPr>
  </w:style>
  <w:style w:type="paragraph" w:styleId="80">
    <w:name w:val="toc 8"/>
    <w:basedOn w:val="a"/>
    <w:next w:val="a"/>
    <w:uiPriority w:val="39"/>
    <w:semiHidden/>
    <w:unhideWhenUsed/>
    <w:qFormat/>
    <w:pPr>
      <w:ind w:left="1540"/>
    </w:pPr>
    <w:rPr>
      <w:rFonts w:eastAsiaTheme="minorHAnsi"/>
      <w:sz w:val="18"/>
      <w:szCs w:val="18"/>
    </w:rPr>
  </w:style>
  <w:style w:type="paragraph" w:styleId="a7">
    <w:name w:val="Date"/>
    <w:basedOn w:val="a"/>
    <w:next w:val="a"/>
    <w:link w:val="Char0"/>
    <w:uiPriority w:val="99"/>
    <w:semiHidden/>
    <w:unhideWhenUsed/>
    <w:qFormat/>
    <w:pPr>
      <w:ind w:leftChars="2500" w:left="100"/>
    </w:pPr>
  </w:style>
  <w:style w:type="paragraph" w:styleId="a8">
    <w:name w:val="footer"/>
    <w:basedOn w:val="a"/>
    <w:link w:val="Char1"/>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Char2"/>
    <w:uiPriority w:val="99"/>
    <w:unhideWhenUsed/>
    <w:qFormat/>
    <w:pPr>
      <w:tabs>
        <w:tab w:val="center" w:pos="4153"/>
        <w:tab w:val="right" w:pos="8306"/>
      </w:tabs>
      <w:snapToGrid w:val="0"/>
      <w:spacing w:line="240" w:lineRule="auto"/>
      <w:jc w:val="center"/>
    </w:pPr>
    <w:rPr>
      <w:sz w:val="18"/>
      <w:szCs w:val="18"/>
    </w:rPr>
  </w:style>
  <w:style w:type="paragraph" w:styleId="10">
    <w:name w:val="toc 1"/>
    <w:basedOn w:val="a"/>
    <w:next w:val="a"/>
    <w:uiPriority w:val="39"/>
    <w:unhideWhenUsed/>
    <w:qFormat/>
    <w:pPr>
      <w:tabs>
        <w:tab w:val="right" w:leader="dot" w:pos="8296"/>
      </w:tabs>
      <w:spacing w:line="480" w:lineRule="exact"/>
    </w:pPr>
    <w:rPr>
      <w:rFonts w:ascii="黑体" w:eastAsia="黑体" w:hAnsi="黑体"/>
      <w:b/>
      <w:bCs/>
      <w:caps/>
      <w:sz w:val="30"/>
      <w:szCs w:val="30"/>
    </w:rPr>
  </w:style>
  <w:style w:type="paragraph" w:styleId="40">
    <w:name w:val="toc 4"/>
    <w:basedOn w:val="a"/>
    <w:next w:val="a"/>
    <w:uiPriority w:val="39"/>
    <w:semiHidden/>
    <w:unhideWhenUsed/>
    <w:qFormat/>
    <w:pPr>
      <w:ind w:left="660"/>
    </w:pPr>
    <w:rPr>
      <w:rFonts w:eastAsiaTheme="minorHAnsi"/>
      <w:sz w:val="18"/>
      <w:szCs w:val="18"/>
    </w:rPr>
  </w:style>
  <w:style w:type="paragraph" w:styleId="aa">
    <w:name w:val="Subtitle"/>
    <w:basedOn w:val="a"/>
    <w:next w:val="a"/>
    <w:link w:val="Char3"/>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footnote text"/>
    <w:basedOn w:val="a"/>
    <w:uiPriority w:val="99"/>
    <w:semiHidden/>
    <w:unhideWhenUsed/>
    <w:qFormat/>
    <w:pPr>
      <w:snapToGrid w:val="0"/>
    </w:pPr>
    <w:rPr>
      <w:sz w:val="18"/>
      <w:szCs w:val="18"/>
    </w:rPr>
  </w:style>
  <w:style w:type="paragraph" w:styleId="60">
    <w:name w:val="toc 6"/>
    <w:basedOn w:val="a"/>
    <w:next w:val="a"/>
    <w:uiPriority w:val="39"/>
    <w:semiHidden/>
    <w:unhideWhenUsed/>
    <w:qFormat/>
    <w:pPr>
      <w:ind w:left="1100"/>
    </w:pPr>
    <w:rPr>
      <w:rFonts w:eastAsiaTheme="minorHAnsi"/>
      <w:sz w:val="18"/>
      <w:szCs w:val="18"/>
    </w:rPr>
  </w:style>
  <w:style w:type="paragraph" w:styleId="20">
    <w:name w:val="toc 2"/>
    <w:basedOn w:val="a"/>
    <w:next w:val="a"/>
    <w:uiPriority w:val="39"/>
    <w:unhideWhenUsed/>
    <w:qFormat/>
    <w:pPr>
      <w:tabs>
        <w:tab w:val="right" w:leader="dot" w:pos="8296"/>
      </w:tabs>
      <w:ind w:left="220"/>
    </w:pPr>
    <w:rPr>
      <w:rFonts w:ascii="仿宋_GB2312" w:hAnsi="仿宋_GB2312" w:cs="楷体_GB2312"/>
      <w:smallCaps/>
      <w:sz w:val="28"/>
      <w:szCs w:val="28"/>
      <w14:ligatures w14:val="none"/>
    </w:rPr>
  </w:style>
  <w:style w:type="paragraph" w:styleId="90">
    <w:name w:val="toc 9"/>
    <w:basedOn w:val="a"/>
    <w:next w:val="a"/>
    <w:uiPriority w:val="39"/>
    <w:semiHidden/>
    <w:unhideWhenUsed/>
    <w:qFormat/>
    <w:pPr>
      <w:ind w:left="1760"/>
    </w:pPr>
    <w:rPr>
      <w:rFonts w:eastAsiaTheme="minorHAnsi"/>
      <w:sz w:val="18"/>
      <w:szCs w:val="18"/>
    </w:rPr>
  </w:style>
  <w:style w:type="paragraph" w:styleId="ac">
    <w:name w:val="Normal (Web)"/>
    <w:basedOn w:val="a"/>
    <w:uiPriority w:val="99"/>
    <w:semiHidden/>
    <w:unhideWhenUsed/>
    <w:qFormat/>
    <w:pPr>
      <w:widowControl/>
      <w:spacing w:before="100" w:beforeAutospacing="1" w:after="100" w:afterAutospacing="1" w:line="240" w:lineRule="auto"/>
    </w:pPr>
    <w:rPr>
      <w:rFonts w:ascii="宋体" w:eastAsia="宋体" w:hAnsi="宋体" w:cs="宋体"/>
      <w:kern w:val="0"/>
      <w:sz w:val="24"/>
      <w14:ligatures w14:val="none"/>
    </w:rPr>
  </w:style>
  <w:style w:type="paragraph" w:styleId="ad">
    <w:name w:val="Title"/>
    <w:basedOn w:val="a"/>
    <w:next w:val="a"/>
    <w:link w:val="Char4"/>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4"/>
    <w:next w:val="a4"/>
    <w:link w:val="Char5"/>
    <w:uiPriority w:val="99"/>
    <w:semiHidden/>
    <w:unhideWhenUsed/>
    <w:qFormat/>
    <w:rPr>
      <w:b/>
      <w:bCs/>
    </w:rPr>
  </w:style>
  <w:style w:type="paragraph" w:styleId="21">
    <w:name w:val="Body Text First Indent 2"/>
    <w:basedOn w:val="a6"/>
    <w:next w:val="a"/>
    <w:qFormat/>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bCs/>
    </w:rPr>
  </w:style>
  <w:style w:type="character" w:styleId="af1">
    <w:name w:val="page number"/>
    <w:basedOn w:val="a0"/>
    <w:uiPriority w:val="99"/>
    <w:semiHidden/>
    <w:unhideWhenUsed/>
    <w:qFormat/>
  </w:style>
  <w:style w:type="character" w:styleId="af2">
    <w:name w:val="Emphasis"/>
    <w:basedOn w:val="a0"/>
    <w:uiPriority w:val="20"/>
    <w:qFormat/>
    <w:rPr>
      <w:i/>
    </w:rPr>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styleId="af5">
    <w:name w:val="footnote reference"/>
    <w:basedOn w:val="a0"/>
    <w:uiPriority w:val="99"/>
    <w:semiHidden/>
    <w:unhideWhenUsed/>
    <w:qFormat/>
    <w:rPr>
      <w:vertAlign w:val="superscript"/>
    </w:rPr>
  </w:style>
  <w:style w:type="paragraph" w:customStyle="1" w:styleId="BodyText">
    <w:name w:val="BodyText"/>
    <w:basedOn w:val="a"/>
    <w:qFormat/>
    <w:pPr>
      <w:spacing w:after="120"/>
    </w:pPr>
  </w:style>
  <w:style w:type="character" w:customStyle="1" w:styleId="1Char">
    <w:name w:val="标题 1 Char"/>
    <w:basedOn w:val="a0"/>
    <w:link w:val="1"/>
    <w:uiPriority w:val="9"/>
    <w:qFormat/>
    <w:rPr>
      <w:rFonts w:ascii="仿宋_GB2312" w:eastAsia="黑体" w:hAnsi="仿宋_GB2312" w:cs="黑体"/>
      <w:b/>
      <w:bCs/>
      <w:kern w:val="44"/>
      <w:sz w:val="32"/>
      <w:szCs w:val="30"/>
    </w:rPr>
  </w:style>
  <w:style w:type="character" w:customStyle="1" w:styleId="2Char">
    <w:name w:val="标题 2 Char"/>
    <w:basedOn w:val="a0"/>
    <w:link w:val="2"/>
    <w:uiPriority w:val="9"/>
    <w:qFormat/>
    <w:rPr>
      <w:rFonts w:ascii="楷体" w:eastAsia="楷体_GB2312" w:hAnsi="楷体" w:cs="楷体"/>
      <w:b/>
      <w:bCs/>
      <w:kern w:val="2"/>
      <w:sz w:val="32"/>
      <w:szCs w:val="32"/>
    </w:rPr>
  </w:style>
  <w:style w:type="character" w:customStyle="1" w:styleId="3Char">
    <w:name w:val="标题 3 Char"/>
    <w:basedOn w:val="a0"/>
    <w:link w:val="3"/>
    <w:uiPriority w:val="9"/>
    <w:qFormat/>
    <w:rPr>
      <w:rFonts w:asciiTheme="majorHAnsi" w:eastAsia="仿宋_GB2312" w:hAnsiTheme="majorHAnsi" w:cstheme="majorBidi"/>
      <w:b/>
      <w:color w:val="000000" w:themeColor="text1"/>
      <w:kern w:val="2"/>
      <w:sz w:val="32"/>
      <w:szCs w:val="32"/>
      <w14:ligatures w14:val="standardContextual"/>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d"/>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f6">
    <w:name w:val="Quote"/>
    <w:basedOn w:val="a"/>
    <w:next w:val="a"/>
    <w:link w:val="Char6"/>
    <w:uiPriority w:val="29"/>
    <w:qFormat/>
    <w:pPr>
      <w:spacing w:before="160"/>
      <w:jc w:val="center"/>
    </w:pPr>
    <w:rPr>
      <w:i/>
      <w:iCs/>
      <w:color w:val="404040" w:themeColor="text1" w:themeTint="BF"/>
    </w:rPr>
  </w:style>
  <w:style w:type="character" w:customStyle="1" w:styleId="Char6">
    <w:name w:val="引用 Char"/>
    <w:basedOn w:val="a0"/>
    <w:link w:val="af6"/>
    <w:uiPriority w:val="29"/>
    <w:qFormat/>
    <w:rPr>
      <w:i/>
      <w:iCs/>
      <w:color w:val="404040" w:themeColor="text1" w:themeTint="BF"/>
    </w:rPr>
  </w:style>
  <w:style w:type="paragraph" w:styleId="af7">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8">
    <w:name w:val="Intense Quote"/>
    <w:basedOn w:val="a"/>
    <w:next w:val="a"/>
    <w:link w:val="Char7"/>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7">
    <w:name w:val="明显引用 Char"/>
    <w:basedOn w:val="a0"/>
    <w:link w:val="af8"/>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Char0">
    <w:name w:val="日期 Char"/>
    <w:basedOn w:val="a0"/>
    <w:link w:val="a7"/>
    <w:uiPriority w:val="99"/>
    <w:semiHidden/>
    <w:qFormat/>
  </w:style>
  <w:style w:type="character" w:customStyle="1" w:styleId="button-container">
    <w:name w:val="button-container"/>
    <w:basedOn w:val="a0"/>
    <w:qFormat/>
  </w:style>
  <w:style w:type="character" w:customStyle="1" w:styleId="Char2">
    <w:name w:val="页眉 Char"/>
    <w:basedOn w:val="a0"/>
    <w:link w:val="a9"/>
    <w:uiPriority w:val="99"/>
    <w:qFormat/>
    <w:rPr>
      <w:sz w:val="18"/>
      <w:szCs w:val="18"/>
    </w:rPr>
  </w:style>
  <w:style w:type="character" w:customStyle="1" w:styleId="Char1">
    <w:name w:val="页脚 Char"/>
    <w:basedOn w:val="a0"/>
    <w:link w:val="a8"/>
    <w:uiPriority w:val="99"/>
    <w:qFormat/>
    <w:rPr>
      <w:sz w:val="18"/>
      <w:szCs w:val="18"/>
    </w:rPr>
  </w:style>
  <w:style w:type="character" w:customStyle="1" w:styleId="Char">
    <w:name w:val="批注文字 Char"/>
    <w:basedOn w:val="a0"/>
    <w:link w:val="a4"/>
    <w:uiPriority w:val="99"/>
    <w:qFormat/>
  </w:style>
  <w:style w:type="character" w:customStyle="1" w:styleId="Char5">
    <w:name w:val="批注主题 Char"/>
    <w:basedOn w:val="Char"/>
    <w:link w:val="ae"/>
    <w:uiPriority w:val="99"/>
    <w:semiHidden/>
    <w:qFormat/>
    <w:rPr>
      <w:b/>
      <w:bCs/>
    </w:rPr>
  </w:style>
  <w:style w:type="paragraph" w:customStyle="1" w:styleId="TOC1">
    <w:name w:val="TOC 标题1"/>
    <w:basedOn w:val="1"/>
    <w:next w:val="a"/>
    <w:uiPriority w:val="39"/>
    <w:unhideWhenUsed/>
    <w:qFormat/>
    <w:pPr>
      <w:keepNext/>
      <w:keepLines/>
      <w:widowControl/>
      <w:adjustRightInd/>
      <w:snapToGrid/>
      <w:spacing w:before="480" w:line="276" w:lineRule="auto"/>
      <w:outlineLvl w:val="9"/>
    </w:pPr>
    <w:rPr>
      <w:rFonts w:asciiTheme="majorHAnsi" w:eastAsiaTheme="majorEastAsia" w:hAnsiTheme="majorHAnsi" w:cstheme="majorBidi"/>
      <w:color w:val="2F5496" w:themeColor="accent1" w:themeShade="BF"/>
      <w:kern w:val="0"/>
      <w:sz w:val="28"/>
      <w:szCs w:val="28"/>
    </w:rPr>
  </w:style>
  <w:style w:type="character" w:customStyle="1" w:styleId="13">
    <w:name w:val="未处理的提及1"/>
    <w:basedOn w:val="a0"/>
    <w:uiPriority w:val="99"/>
    <w:semiHidden/>
    <w:unhideWhenUsed/>
    <w:qFormat/>
    <w:rPr>
      <w:color w:val="605E5C"/>
      <w:shd w:val="clear" w:color="auto" w:fill="E1DFDD"/>
    </w:rPr>
  </w:style>
  <w:style w:type="paragraph" w:customStyle="1" w:styleId="14">
    <w:name w:val="修订1"/>
    <w:hidden/>
    <w:uiPriority w:val="99"/>
    <w:unhideWhenUsed/>
    <w:qFormat/>
    <w:pPr>
      <w:spacing w:after="160" w:line="278" w:lineRule="auto"/>
    </w:pPr>
    <w:rPr>
      <w:rFonts w:asciiTheme="minorHAnsi" w:eastAsiaTheme="minorEastAsia" w:hAnsiTheme="minorHAnsi" w:cstheme="minorBidi"/>
      <w:kern w:val="2"/>
      <w:sz w:val="22"/>
      <w:szCs w:val="24"/>
      <w14:ligatures w14:val="standardContextual"/>
    </w:rPr>
  </w:style>
  <w:style w:type="paragraph" w:customStyle="1" w:styleId="af9">
    <w:name w:val="专栏题目"/>
    <w:basedOn w:val="afa"/>
    <w:next w:val="afb"/>
    <w:qFormat/>
    <w:pPr>
      <w:keepNext/>
      <w:keepLines/>
      <w:widowControl w:val="0"/>
      <w:spacing w:line="240" w:lineRule="auto"/>
    </w:pPr>
    <w:rPr>
      <w:rFonts w:eastAsia="黑体"/>
      <w:sz w:val="30"/>
    </w:rPr>
  </w:style>
  <w:style w:type="paragraph" w:customStyle="1" w:styleId="afa">
    <w:name w:val="文稿题目"/>
    <w:next w:val="a"/>
    <w:qFormat/>
    <w:pPr>
      <w:snapToGrid w:val="0"/>
      <w:spacing w:after="160" w:line="594" w:lineRule="exact"/>
      <w:jc w:val="center"/>
    </w:pPr>
    <w:rPr>
      <w:rFonts w:eastAsia="方正小标宋_GBK"/>
      <w:bCs/>
      <w:kern w:val="2"/>
      <w:sz w:val="40"/>
      <w:szCs w:val="32"/>
    </w:rPr>
  </w:style>
  <w:style w:type="paragraph" w:customStyle="1" w:styleId="afb">
    <w:name w:val="专栏正文"/>
    <w:basedOn w:val="a"/>
    <w:qFormat/>
    <w:pPr>
      <w:spacing w:line="240" w:lineRule="auto"/>
      <w:ind w:firstLine="560"/>
    </w:pPr>
    <w:rPr>
      <w:rFonts w:eastAsia="楷体_GB2312" w:cs="楷体_GB2312"/>
      <w:sz w:val="28"/>
    </w:rPr>
  </w:style>
  <w:style w:type="paragraph" w:customStyle="1" w:styleId="afc">
    <w:name w:val="图名/表"/>
    <w:basedOn w:val="a"/>
    <w:next w:val="a"/>
    <w:qFormat/>
    <w:pPr>
      <w:keepLines/>
      <w:spacing w:line="240" w:lineRule="auto"/>
      <w:jc w:val="center"/>
    </w:pPr>
    <w:rPr>
      <w:rFonts w:eastAsia="楷体_GB2312"/>
      <w:sz w:val="28"/>
    </w:rPr>
  </w:style>
  <w:style w:type="paragraph" w:customStyle="1" w:styleId="22">
    <w:name w:val="修订2"/>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31">
    <w:name w:val="修订3"/>
    <w:hidden/>
    <w:uiPriority w:val="99"/>
    <w:unhideWhenUsed/>
    <w:qFormat/>
    <w:rPr>
      <w:rFonts w:asciiTheme="minorHAnsi" w:eastAsiaTheme="minorEastAsia" w:hAnsiTheme="minorHAnsi" w:cstheme="minorBidi"/>
      <w:kern w:val="2"/>
      <w:sz w:val="22"/>
      <w:szCs w:val="24"/>
      <w14:ligatures w14:val="standardContextual"/>
    </w:rPr>
  </w:style>
  <w:style w:type="character" w:customStyle="1" w:styleId="font121">
    <w:name w:val="font121"/>
    <w:basedOn w:val="a0"/>
    <w:qFormat/>
    <w:rPr>
      <w:rFonts w:ascii="Arial" w:hAnsi="Arial" w:cs="Arial"/>
      <w:b/>
      <w:bCs/>
      <w:color w:val="000000"/>
      <w:sz w:val="24"/>
      <w:szCs w:val="24"/>
      <w:u w:val="none"/>
    </w:rPr>
  </w:style>
  <w:style w:type="character" w:customStyle="1" w:styleId="font81">
    <w:name w:val="font81"/>
    <w:basedOn w:val="a0"/>
    <w:qFormat/>
    <w:rPr>
      <w:rFonts w:ascii="仿宋_GB2312" w:eastAsia="仿宋_GB2312" w:cs="仿宋_GB2312" w:hint="eastAsia"/>
      <w:color w:val="000000"/>
      <w:sz w:val="24"/>
      <w:szCs w:val="24"/>
      <w:u w:val="none"/>
    </w:rPr>
  </w:style>
  <w:style w:type="character" w:customStyle="1" w:styleId="font71">
    <w:name w:val="font71"/>
    <w:basedOn w:val="a0"/>
    <w:qFormat/>
    <w:rPr>
      <w:rFonts w:ascii="宋体" w:eastAsia="宋体" w:hAnsi="宋体" w:cs="宋体" w:hint="eastAsia"/>
      <w:b/>
      <w:bCs/>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31">
    <w:name w:val="font31"/>
    <w:basedOn w:val="a0"/>
    <w:qFormat/>
    <w:rPr>
      <w:rFonts w:ascii="仿宋_GB2312" w:eastAsia="仿宋_GB2312" w:cs="仿宋_GB2312" w:hint="eastAsia"/>
      <w:color w:val="000000"/>
      <w:sz w:val="24"/>
      <w:szCs w:val="24"/>
      <w:u w:val="none"/>
    </w:rPr>
  </w:style>
  <w:style w:type="character" w:customStyle="1" w:styleId="font51">
    <w:name w:val="font51"/>
    <w:basedOn w:val="a0"/>
    <w:qFormat/>
    <w:rPr>
      <w:rFonts w:ascii="宋体" w:eastAsia="宋体" w:hAnsi="宋体" w:cs="宋体" w:hint="eastAsia"/>
      <w:b/>
      <w:bCs/>
      <w:color w:val="000000"/>
      <w:sz w:val="22"/>
      <w:szCs w:val="22"/>
      <w:u w:val="none"/>
    </w:rPr>
  </w:style>
  <w:style w:type="character" w:customStyle="1" w:styleId="font21">
    <w:name w:val="font21"/>
    <w:basedOn w:val="a0"/>
    <w:qFormat/>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1534</Words>
  <Characters>8750</Characters>
  <Application>Microsoft Office Word</Application>
  <DocSecurity>0</DocSecurity>
  <Lines>72</Lines>
  <Paragraphs>20</Paragraphs>
  <ScaleCrop>false</ScaleCrop>
  <Company>Lenovo</Company>
  <LinksUpToDate>false</LinksUpToDate>
  <CharactersWithSpaces>10264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CAICT</dc:creator>
  <cp:lastModifiedBy>徐汇区发展改革委员会（本级）</cp:lastModifiedBy>
  <cp:revision>2</cp:revision>
  <cp:lastPrinted>2026-04-16T14:54:00Z</cp:lastPrinted>
  <dcterms:created xsi:type="dcterms:W3CDTF">2026-06-02T09:12:00Z</dcterms:created>
  <dcterms:modified xsi:type="dcterms:W3CDTF">2026-06-02T09:12:00Z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4F9C14009C7E4D94A941EA59F62914D5_13</vt:lpwstr>
  </property>
  <property fmtid="{D5CDD505-2E9C-101B-9397-08002B2CF9AE}" pid="4" name="KSOTemplateDocerSaveRecord">
    <vt:lpwstr>eyJoZGlkIjoiYzE3NjIyMTg5OTRjMzcyMGUxMDg4NDJjMzM0NWYwMTAiLCJ1c2VySWQiOiIzMzk1MzE2MzgifQ==</vt:lpwstr>
  </property>
</Properties>
</file>