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E9854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0"/>
        <w:rPr>
          <w:rFonts w:hint="eastAsia" w:ascii="华文中宋" w:hAnsi="华文中宋" w:eastAsia="华文中宋" w:cs="Times New Roman"/>
          <w:color w:val="auto"/>
          <w:sz w:val="44"/>
          <w:szCs w:val="44"/>
          <w:lang w:eastAsia="zh"/>
        </w:rPr>
      </w:pPr>
      <w:r>
        <w:rPr>
          <w:rFonts w:hint="eastAsia" w:ascii="华文中宋" w:hAnsi="华文中宋" w:eastAsia="华文中宋" w:cs="Times New Roman"/>
          <w:color w:val="auto"/>
          <w:sz w:val="44"/>
          <w:szCs w:val="44"/>
          <w:lang w:eastAsia="zh"/>
        </w:rPr>
        <w:t>徐汇区科技创新发展专项资金管理办法</w:t>
      </w:r>
    </w:p>
    <w:p w14:paraId="6A3F5F61">
      <w:pPr>
        <w:pStyle w:val="2"/>
        <w:ind w:left="0" w:leftChars="0" w:right="0" w:rightChars="0" w:firstLine="0" w:firstLineChars="0"/>
        <w:jc w:val="center"/>
        <w:rPr>
          <w:rFonts w:hint="eastAsia" w:ascii="楷体_GB2312" w:hAnsi="楷体_GB2312" w:eastAsia="楷体_GB2312" w:cs="楷体_GB2312"/>
          <w:lang w:val="en-US" w:eastAsia="zh-CN"/>
        </w:rPr>
      </w:pPr>
      <w:r>
        <w:rPr>
          <w:rFonts w:hint="eastAsia" w:ascii="楷体_GB2312" w:hAnsi="楷体_GB2312" w:eastAsia="楷体_GB2312" w:cs="楷体_GB2312"/>
          <w:lang w:val="en-US" w:eastAsia="zh-CN"/>
        </w:rPr>
        <w:t>（征求意见稿）</w:t>
      </w:r>
    </w:p>
    <w:p w14:paraId="318FE33F">
      <w:pPr>
        <w:pStyle w:val="2"/>
        <w:keepNext w:val="0"/>
        <w:keepLines w:val="0"/>
        <w:pageBreakBefore w:val="0"/>
        <w:widowControl w:val="0"/>
        <w:kinsoku/>
        <w:wordWrap/>
        <w:overflowPunct/>
        <w:topLinePunct w:val="0"/>
        <w:autoSpaceDE/>
        <w:autoSpaceDN/>
        <w:bidi w:val="0"/>
        <w:adjustRightInd/>
        <w:snapToGrid/>
        <w:spacing w:after="0" w:afterLines="0" w:line="560" w:lineRule="exact"/>
        <w:ind w:firstLine="640" w:firstLineChars="200"/>
        <w:textAlignment w:val="auto"/>
        <w:rPr>
          <w:rFonts w:hint="eastAsia" w:ascii="华文中宋" w:hAnsi="华文中宋" w:eastAsia="华文中宋" w:cs="Times New Roman"/>
          <w:color w:val="auto"/>
          <w:sz w:val="32"/>
          <w:szCs w:val="32"/>
          <w:lang w:eastAsia="zh"/>
        </w:rPr>
      </w:pPr>
    </w:p>
    <w:p w14:paraId="5BE86C7C">
      <w:pPr>
        <w:pStyle w:val="4"/>
        <w:bidi w:val="0"/>
        <w:ind w:left="0" w:leftChars="0" w:right="0" w:rightChars="0" w:firstLine="0" w:firstLineChars="0"/>
        <w:jc w:val="center"/>
        <w:rPr>
          <w:rFonts w:hint="default"/>
          <w:lang w:val="en-US" w:eastAsia="zh-CN"/>
        </w:rPr>
      </w:pPr>
      <w:r>
        <w:rPr>
          <w:rFonts w:hint="eastAsia"/>
          <w:lang w:eastAsia="zh-CN"/>
        </w:rPr>
        <w:t>第一章</w:t>
      </w:r>
      <w:r>
        <w:rPr>
          <w:rFonts w:hint="eastAsia"/>
          <w:lang w:val="en-US" w:eastAsia="zh-CN"/>
        </w:rPr>
        <w:t xml:space="preserve">   总则</w:t>
      </w:r>
    </w:p>
    <w:p w14:paraId="12636AE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Times New Roman" w:eastAsia="仿宋_GB2312" w:cs="Times New Roman"/>
          <w:color w:val="auto"/>
          <w:sz w:val="32"/>
          <w:szCs w:val="32"/>
        </w:rPr>
      </w:pPr>
      <w:r>
        <w:rPr>
          <w:rFonts w:hint="eastAsia" w:ascii="楷体" w:hAnsi="楷体" w:eastAsia="楷体" w:cs="楷体"/>
          <w:b/>
          <w:bCs/>
          <w:sz w:val="32"/>
          <w:szCs w:val="32"/>
          <w:lang w:eastAsia="zh-CN"/>
        </w:rPr>
        <w:t>第一条</w:t>
      </w:r>
      <w:r>
        <w:rPr>
          <w:rFonts w:hint="eastAsia" w:ascii="仿宋_GB2312" w:hAnsi="仿宋_GB2312" w:eastAsia="仿宋_GB2312" w:cs="仿宋_GB2312"/>
          <w:sz w:val="32"/>
          <w:szCs w:val="32"/>
          <w:lang w:val="en-US" w:eastAsia="zh-CN"/>
        </w:rPr>
        <w:t xml:space="preserve">  </w:t>
      </w:r>
      <w:r>
        <w:rPr>
          <w:rFonts w:hint="eastAsia" w:ascii="仿宋_GB2312" w:hAnsi="Calibri" w:eastAsia="仿宋_GB2312" w:cs="Times New Roman"/>
          <w:color w:val="auto"/>
          <w:sz w:val="32"/>
          <w:szCs w:val="32"/>
          <w:lang w:eastAsia="zh-CN"/>
        </w:rPr>
        <w:t>为深入贯彻落实</w:t>
      </w:r>
      <w:r>
        <w:rPr>
          <w:rFonts w:hint="eastAsia" w:ascii="仿宋_GB2312" w:hAnsi="Times New Roman" w:eastAsia="仿宋_GB2312" w:cs="Times New Roman"/>
          <w:color w:val="auto"/>
          <w:sz w:val="32"/>
          <w:szCs w:val="32"/>
          <w:lang w:eastAsia="zh-CN"/>
        </w:rPr>
        <w:t>“建设新徐汇、</w:t>
      </w:r>
      <w:r>
        <w:rPr>
          <w:rFonts w:hint="eastAsia" w:ascii="仿宋_GB2312" w:eastAsia="仿宋_GB2312" w:cs="Times New Roman"/>
          <w:color w:val="auto"/>
          <w:sz w:val="32"/>
          <w:szCs w:val="32"/>
          <w:lang w:eastAsia="zh-CN"/>
        </w:rPr>
        <w:t>奋进新征程</w:t>
      </w:r>
      <w:r>
        <w:rPr>
          <w:rFonts w:hint="eastAsia" w:ascii="仿宋_GB2312" w:hAnsi="Times New Roman" w:eastAsia="仿宋_GB2312" w:cs="Times New Roman"/>
          <w:color w:val="auto"/>
          <w:sz w:val="32"/>
          <w:szCs w:val="32"/>
          <w:lang w:eastAsia="zh-CN"/>
        </w:rPr>
        <w:t>”战略部署，</w:t>
      </w:r>
      <w:r>
        <w:rPr>
          <w:rFonts w:hint="eastAsia" w:ascii="仿宋_GB2312" w:hAnsi="仿宋_GB2312" w:eastAsia="仿宋_GB2312" w:cs="仿宋_GB2312"/>
          <w:sz w:val="32"/>
          <w:szCs w:val="32"/>
          <w:lang w:val="en-US" w:eastAsia="zh-CN"/>
        </w:rPr>
        <w:t>增强徐汇区域科技创新策源和高端产业引领功能，</w:t>
      </w:r>
      <w:r>
        <w:rPr>
          <w:rFonts w:hint="eastAsia" w:ascii="仿宋_GB2312" w:hAnsi="Times New Roman" w:eastAsia="仿宋_GB2312" w:cs="Times New Roman"/>
          <w:color w:val="auto"/>
          <w:sz w:val="32"/>
          <w:szCs w:val="32"/>
          <w:lang w:eastAsia="zh-CN"/>
        </w:rPr>
        <w:t>加快建设具有全球影响力的科技创新中心重要承载区，</w:t>
      </w:r>
      <w:r>
        <w:rPr>
          <w:rFonts w:hint="eastAsia" w:ascii="仿宋_GB2312" w:hAnsi="Calibri" w:eastAsia="仿宋_GB2312" w:cs="Times New Roman"/>
          <w:color w:val="auto"/>
          <w:sz w:val="32"/>
          <w:szCs w:val="32"/>
          <w:lang w:eastAsia="zh-CN"/>
        </w:rPr>
        <w:t>参照《上海市科技创新计划专项资金管理办法》，结合本区实际，在“十五五”期间继续</w:t>
      </w:r>
      <w:r>
        <w:rPr>
          <w:rFonts w:hint="eastAsia" w:ascii="仿宋_GB2312" w:hAnsi="Times New Roman" w:eastAsia="仿宋_GB2312" w:cs="Times New Roman"/>
          <w:color w:val="auto"/>
          <w:sz w:val="32"/>
          <w:szCs w:val="32"/>
          <w:lang w:eastAsia="zh-CN"/>
        </w:rPr>
        <w:t>设立</w:t>
      </w:r>
      <w:r>
        <w:rPr>
          <w:rFonts w:hint="eastAsia" w:ascii="仿宋_GB2312" w:hAnsi="Times New Roman" w:eastAsia="仿宋_GB2312" w:cs="Times New Roman"/>
          <w:color w:val="auto"/>
          <w:sz w:val="32"/>
          <w:szCs w:val="32"/>
        </w:rPr>
        <w:t>徐汇区科技创新发展专项资金（以下简称“专项资金”）</w:t>
      </w:r>
      <w:r>
        <w:rPr>
          <w:rFonts w:hint="eastAsia" w:ascii="仿宋_GB2312" w:hAnsi="Calibri" w:eastAsia="仿宋_GB2312" w:cs="Times New Roman"/>
          <w:color w:val="auto"/>
          <w:sz w:val="32"/>
          <w:szCs w:val="32"/>
          <w:lang w:eastAsia="zh-CN"/>
        </w:rPr>
        <w:t>。</w:t>
      </w:r>
      <w:r>
        <w:rPr>
          <w:rFonts w:hint="eastAsia" w:ascii="仿宋_GB2312" w:hAnsi="Times New Roman" w:eastAsia="仿宋_GB2312" w:cs="Times New Roman"/>
          <w:color w:val="auto"/>
          <w:sz w:val="32"/>
          <w:szCs w:val="32"/>
          <w:lang w:eastAsia="zh-CN"/>
        </w:rPr>
        <w:t>为</w:t>
      </w:r>
      <w:r>
        <w:rPr>
          <w:rFonts w:hint="eastAsia" w:ascii="仿宋_GB2312" w:hAnsi="Calibri" w:eastAsia="仿宋_GB2312" w:cs="Times New Roman"/>
          <w:color w:val="auto"/>
          <w:sz w:val="32"/>
          <w:szCs w:val="32"/>
          <w:lang w:eastAsia="zh-CN"/>
        </w:rPr>
        <w:t>规范和加强专项资金使用管理</w:t>
      </w:r>
      <w:r>
        <w:rPr>
          <w:rFonts w:hint="eastAsia" w:ascii="仿宋_GB2312" w:hAnsi="Times New Roman" w:eastAsia="仿宋_GB2312" w:cs="Times New Roman"/>
          <w:color w:val="auto"/>
          <w:sz w:val="32"/>
          <w:szCs w:val="32"/>
          <w:lang w:eastAsia="zh-CN"/>
        </w:rPr>
        <w:t>，</w:t>
      </w:r>
      <w:r>
        <w:rPr>
          <w:rFonts w:hint="eastAsia" w:ascii="仿宋_GB2312" w:hAnsi="Calibri" w:eastAsia="仿宋_GB2312" w:cs="Times New Roman"/>
          <w:color w:val="auto"/>
          <w:sz w:val="32"/>
          <w:szCs w:val="32"/>
          <w:lang w:eastAsia="zh-CN"/>
        </w:rPr>
        <w:t>提高财政资金使用效益，发挥专项资金的引导带动作用</w:t>
      </w:r>
      <w:r>
        <w:rPr>
          <w:rFonts w:hint="eastAsia" w:ascii="仿宋_GB2312" w:hAnsi="Times New Roman" w:eastAsia="仿宋_GB2312" w:cs="Times New Roman"/>
          <w:color w:val="auto"/>
          <w:sz w:val="32"/>
          <w:szCs w:val="32"/>
          <w:lang w:eastAsia="zh-CN"/>
        </w:rPr>
        <w:t>，</w:t>
      </w:r>
      <w:r>
        <w:rPr>
          <w:rFonts w:hint="eastAsia" w:ascii="仿宋_GB2312" w:hAnsi="Times New Roman" w:eastAsia="仿宋_GB2312" w:cs="Times New Roman"/>
          <w:color w:val="auto"/>
          <w:sz w:val="32"/>
          <w:szCs w:val="32"/>
        </w:rPr>
        <w:t>制定本办法。</w:t>
      </w:r>
    </w:p>
    <w:p w14:paraId="3D3D3D93">
      <w:pPr>
        <w:pStyle w:val="2"/>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rPr>
          <w:rFonts w:hint="eastAsia" w:ascii="仿宋_GB2312" w:eastAsia="仿宋_GB2312" w:cs="Times New Roman"/>
          <w:color w:val="auto"/>
          <w:kern w:val="2"/>
          <w:sz w:val="32"/>
          <w:szCs w:val="32"/>
          <w:lang w:val="en-US" w:eastAsia="zh-CN" w:bidi="ar-SA"/>
        </w:rPr>
      </w:pPr>
      <w:r>
        <w:rPr>
          <w:rFonts w:hint="eastAsia" w:ascii="楷体" w:hAnsi="楷体" w:eastAsia="楷体" w:cs="楷体"/>
          <w:b/>
          <w:bCs/>
          <w:kern w:val="2"/>
          <w:sz w:val="32"/>
          <w:szCs w:val="32"/>
          <w:lang w:val="en-US" w:eastAsia="zh-CN" w:bidi="ar-SA"/>
        </w:rPr>
        <w:t>第二条</w:t>
      </w:r>
      <w:r>
        <w:rPr>
          <w:rFonts w:hint="eastAsia" w:ascii="仿宋_GB2312" w:eastAsia="仿宋_GB2312" w:cs="Times New Roman"/>
          <w:color w:val="auto"/>
          <w:kern w:val="2"/>
          <w:sz w:val="32"/>
          <w:szCs w:val="32"/>
          <w:lang w:val="en-US" w:eastAsia="zh-CN" w:bidi="ar-SA"/>
        </w:rPr>
        <w:t xml:space="preserve">  专项资金由区级财政预算安排，纳入徐汇区科学技术委员会（以下简称“区科委”）部门预算管理。</w:t>
      </w:r>
    </w:p>
    <w:p w14:paraId="79C6E473">
      <w:pPr>
        <w:pStyle w:val="2"/>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rPr>
          <w:rFonts w:hint="eastAsia" w:ascii="仿宋_GB2312" w:cs="Times New Roman"/>
          <w:color w:val="auto"/>
          <w:kern w:val="2"/>
          <w:sz w:val="32"/>
          <w:szCs w:val="32"/>
          <w:lang w:val="en-US" w:eastAsia="zh-CN" w:bidi="ar-SA"/>
        </w:rPr>
      </w:pPr>
      <w:r>
        <w:rPr>
          <w:rFonts w:hint="eastAsia" w:ascii="楷体" w:hAnsi="楷体" w:eastAsia="楷体" w:cs="楷体"/>
          <w:b/>
          <w:bCs/>
          <w:kern w:val="2"/>
          <w:sz w:val="32"/>
          <w:szCs w:val="32"/>
          <w:lang w:val="en-US" w:eastAsia="zh-CN" w:bidi="ar-SA"/>
        </w:rPr>
        <w:t>第三条</w:t>
      </w:r>
      <w:r>
        <w:rPr>
          <w:rFonts w:hint="eastAsia" w:ascii="仿宋_GB2312" w:cs="Times New Roman"/>
          <w:color w:val="auto"/>
          <w:kern w:val="2"/>
          <w:sz w:val="32"/>
          <w:szCs w:val="32"/>
          <w:lang w:val="en-US" w:eastAsia="zh-CN" w:bidi="ar-SA"/>
        </w:rPr>
        <w:t xml:space="preserve">  专项资金的安排使用应当符合国家、上海市和本区科技创新发展的政策导向，符合财政预算管理的相关要求。专项资金聚焦增强科技创新策源功能和高端产业引领功能，加快培育新动能，提高科技成果转化效率，加速科技创新和产业创新深度融合。聚力打响“科创绣带”品牌，打造高质量发展强劲增长极，进一步彰显上海国际科创中心重要承载区定位。</w:t>
      </w:r>
    </w:p>
    <w:p w14:paraId="1559D1DE">
      <w:pPr>
        <w:pStyle w:val="2"/>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rPr>
          <w:rFonts w:hint="default" w:ascii="仿宋_GB2312" w:eastAsia="仿宋_GB2312" w:cs="Times New Roman"/>
          <w:color w:val="auto"/>
          <w:kern w:val="2"/>
          <w:sz w:val="32"/>
          <w:szCs w:val="32"/>
          <w:lang w:val="en-US" w:eastAsia="zh-CN" w:bidi="ar-SA"/>
        </w:rPr>
      </w:pPr>
      <w:r>
        <w:rPr>
          <w:rFonts w:hint="eastAsia" w:ascii="楷体" w:hAnsi="楷体" w:eastAsia="楷体" w:cs="楷体"/>
          <w:b/>
          <w:bCs/>
          <w:kern w:val="2"/>
          <w:sz w:val="32"/>
          <w:szCs w:val="32"/>
          <w:lang w:val="en-US" w:eastAsia="zh-CN" w:bidi="ar-SA"/>
        </w:rPr>
        <w:t>第四条</w:t>
      </w:r>
      <w:r>
        <w:rPr>
          <w:rFonts w:hint="eastAsia" w:ascii="仿宋_GB2312" w:cs="Times New Roman"/>
          <w:color w:val="auto"/>
          <w:kern w:val="2"/>
          <w:sz w:val="32"/>
          <w:szCs w:val="32"/>
          <w:lang w:val="en-US" w:eastAsia="zh-CN" w:bidi="ar-SA"/>
        </w:rPr>
        <w:t xml:space="preserve">  专项资金由区科委和徐汇区财政局(以下简称“区财政局”)共同管理。区科委、区财政局分别履行以下管理职责:</w:t>
      </w:r>
    </w:p>
    <w:p w14:paraId="31BDE6CA">
      <w:pPr>
        <w:pStyle w:val="2"/>
        <w:bidi w:val="0"/>
        <w:rPr>
          <w:rFonts w:hint="default"/>
          <w:lang w:val="en-US" w:eastAsia="zh-CN"/>
        </w:rPr>
      </w:pPr>
      <w:r>
        <w:rPr>
          <w:rFonts w:hint="eastAsia"/>
          <w:lang w:val="en-US" w:eastAsia="zh-CN"/>
        </w:rPr>
        <w:t>（一）</w:t>
      </w:r>
      <w:r>
        <w:rPr>
          <w:rFonts w:hint="default"/>
          <w:lang w:val="en-US" w:eastAsia="zh-CN"/>
        </w:rPr>
        <w:t>区科委负责编制年度专项资金预算，确定专项资金年度使用方向和支持重点，开展专项资金日常管理；对专项资金</w:t>
      </w:r>
      <w:r>
        <w:rPr>
          <w:rFonts w:hint="eastAsia"/>
          <w:lang w:val="en-US" w:eastAsia="zh-CN"/>
        </w:rPr>
        <w:t>项目</w:t>
      </w:r>
      <w:r>
        <w:rPr>
          <w:rFonts w:hint="default"/>
          <w:lang w:val="en-US" w:eastAsia="zh-CN"/>
        </w:rPr>
        <w:t>进行全过程管理</w:t>
      </w:r>
      <w:r>
        <w:rPr>
          <w:rFonts w:hint="eastAsia"/>
          <w:lang w:val="en-US" w:eastAsia="zh-CN"/>
        </w:rPr>
        <w:t>并开展</w:t>
      </w:r>
      <w:r>
        <w:rPr>
          <w:rFonts w:hint="default"/>
          <w:lang w:val="en-US" w:eastAsia="zh-CN"/>
        </w:rPr>
        <w:t>监督检查；实施专项资金绩效管理。</w:t>
      </w:r>
    </w:p>
    <w:p w14:paraId="59594B52">
      <w:pPr>
        <w:pStyle w:val="2"/>
        <w:bidi w:val="0"/>
        <w:rPr>
          <w:rFonts w:hint="default"/>
          <w:lang w:val="en-US" w:eastAsia="zh-CN"/>
        </w:rPr>
      </w:pPr>
      <w:r>
        <w:rPr>
          <w:rFonts w:hint="eastAsia"/>
          <w:lang w:val="en-US" w:eastAsia="zh-CN"/>
        </w:rPr>
        <w:t>（二）</w:t>
      </w:r>
      <w:r>
        <w:rPr>
          <w:rFonts w:hint="default"/>
          <w:lang w:val="en-US" w:eastAsia="zh-CN"/>
        </w:rPr>
        <w:t>区财政局负责</w:t>
      </w:r>
      <w:r>
        <w:rPr>
          <w:rFonts w:hint="eastAsia"/>
          <w:lang w:val="en-US" w:eastAsia="zh-CN"/>
        </w:rPr>
        <w:t>审核年度</w:t>
      </w:r>
      <w:r>
        <w:rPr>
          <w:rFonts w:hint="default"/>
          <w:lang w:val="en-US" w:eastAsia="zh-CN"/>
        </w:rPr>
        <w:t>专项资金预算和资金拨付，</w:t>
      </w:r>
      <w:r>
        <w:rPr>
          <w:rFonts w:hint="eastAsia"/>
          <w:lang w:val="en-US" w:eastAsia="zh-CN"/>
        </w:rPr>
        <w:t>指导加强专项资金的使用管理，对专项资金绩效开展跟踪评估</w:t>
      </w:r>
      <w:r>
        <w:rPr>
          <w:rFonts w:hint="default"/>
          <w:lang w:val="en-US" w:eastAsia="zh-CN"/>
        </w:rPr>
        <w:t>。</w:t>
      </w:r>
    </w:p>
    <w:p w14:paraId="2DAEF2AE">
      <w:pPr>
        <w:pStyle w:val="2"/>
        <w:bidi w:val="0"/>
        <w:rPr>
          <w:rFonts w:hint="default"/>
          <w:lang w:val="en-US" w:eastAsia="zh-CN"/>
        </w:rPr>
      </w:pPr>
      <w:r>
        <w:rPr>
          <w:rFonts w:hint="default"/>
          <w:lang w:val="en-US" w:eastAsia="zh-CN"/>
        </w:rPr>
        <w:t>专项资金使用</w:t>
      </w:r>
      <w:r>
        <w:rPr>
          <w:rFonts w:hint="eastAsia"/>
          <w:lang w:val="en-US" w:eastAsia="zh-CN"/>
        </w:rPr>
        <w:t>涉及各</w:t>
      </w:r>
      <w:r>
        <w:rPr>
          <w:rFonts w:hint="default"/>
          <w:lang w:val="en-US" w:eastAsia="zh-CN"/>
        </w:rPr>
        <w:t>职能部门应当根据职责分工，按照专项资金使用</w:t>
      </w:r>
      <w:r>
        <w:rPr>
          <w:rFonts w:hint="eastAsia"/>
          <w:lang w:val="en-US" w:eastAsia="zh-CN"/>
        </w:rPr>
        <w:t>管理</w:t>
      </w:r>
      <w:r>
        <w:rPr>
          <w:rFonts w:hint="default"/>
          <w:lang w:val="en-US" w:eastAsia="zh-CN"/>
        </w:rPr>
        <w:t>要求，协同做好专项资金的使用、管理和监督。</w:t>
      </w:r>
    </w:p>
    <w:p w14:paraId="1177C737">
      <w:pPr>
        <w:pStyle w:val="2"/>
        <w:bidi w:val="0"/>
        <w:rPr>
          <w:rFonts w:hint="default"/>
          <w:lang w:val="en-US" w:eastAsia="zh-CN"/>
        </w:rPr>
      </w:pPr>
    </w:p>
    <w:p w14:paraId="1C21F3AB">
      <w:pPr>
        <w:pStyle w:val="4"/>
        <w:bidi w:val="0"/>
        <w:ind w:left="0" w:leftChars="0" w:right="0" w:rightChars="0" w:firstLine="0" w:firstLineChars="0"/>
        <w:jc w:val="center"/>
        <w:rPr>
          <w:rFonts w:hint="default"/>
          <w:lang w:val="en-US" w:eastAsia="zh-CN"/>
        </w:rPr>
      </w:pPr>
      <w:r>
        <w:rPr>
          <w:rFonts w:hint="eastAsia"/>
          <w:lang w:eastAsia="zh-CN"/>
        </w:rPr>
        <w:t>第二章</w:t>
      </w:r>
      <w:r>
        <w:rPr>
          <w:rFonts w:hint="eastAsia"/>
          <w:lang w:val="en-US" w:eastAsia="zh-CN"/>
        </w:rPr>
        <w:t xml:space="preserve">   资金使用</w:t>
      </w:r>
    </w:p>
    <w:p w14:paraId="2F226CE9">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Times New Roman" w:eastAsia="仿宋_GB2312" w:cs="Times New Roman"/>
          <w:color w:val="auto"/>
          <w:sz w:val="32"/>
          <w:szCs w:val="32"/>
          <w:lang w:eastAsia="zh-CN"/>
        </w:rPr>
      </w:pPr>
      <w:r>
        <w:rPr>
          <w:rFonts w:hint="eastAsia" w:ascii="楷体" w:hAnsi="楷体" w:eastAsia="楷体" w:cs="楷体"/>
          <w:b/>
          <w:bCs/>
          <w:color w:val="auto"/>
          <w:sz w:val="32"/>
          <w:szCs w:val="32"/>
          <w:highlight w:val="none"/>
          <w:lang w:val="en-US" w:eastAsia="zh-CN"/>
        </w:rPr>
        <w:t>第五条</w:t>
      </w:r>
      <w:r>
        <w:rPr>
          <w:rFonts w:hint="eastAsia" w:ascii="仿宋_GB2312" w:hAnsi="Calibri" w:eastAsia="仿宋_GB2312" w:cs="Times New Roman"/>
          <w:color w:val="auto"/>
          <w:sz w:val="32"/>
          <w:szCs w:val="32"/>
          <w:highlight w:val="none"/>
          <w:lang w:val="en-US" w:eastAsia="zh-CN"/>
        </w:rPr>
        <w:t xml:space="preserve">  专项资金</w:t>
      </w:r>
      <w:r>
        <w:rPr>
          <w:rFonts w:hint="eastAsia" w:ascii="仿宋_GB2312" w:hAnsi="Calibri" w:eastAsia="仿宋_GB2312" w:cs="Times New Roman"/>
          <w:color w:val="auto"/>
          <w:sz w:val="32"/>
          <w:szCs w:val="32"/>
          <w:highlight w:val="none"/>
          <w:lang w:eastAsia="zh-CN"/>
        </w:rPr>
        <w:t>围绕区域产业经济高质量发展的总体目标，动态优化布局方向，激发源头创新，加速创新过程，</w:t>
      </w:r>
      <w:r>
        <w:rPr>
          <w:rFonts w:hint="eastAsia" w:ascii="仿宋_GB2312" w:hAnsi="Times New Roman" w:eastAsia="仿宋_GB2312" w:cs="Times New Roman"/>
          <w:color w:val="auto"/>
          <w:sz w:val="32"/>
          <w:szCs w:val="32"/>
          <w:lang w:eastAsia="zh-CN"/>
        </w:rPr>
        <w:t>主要用于</w:t>
      </w:r>
      <w:r>
        <w:rPr>
          <w:rFonts w:hint="eastAsia" w:ascii="仿宋_GB2312" w:eastAsia="仿宋_GB2312" w:cs="Times New Roman"/>
          <w:color w:val="auto"/>
          <w:sz w:val="32"/>
          <w:szCs w:val="32"/>
          <w:lang w:eastAsia="zh-CN"/>
        </w:rPr>
        <w:t>支持</w:t>
      </w:r>
      <w:r>
        <w:rPr>
          <w:rFonts w:hint="eastAsia" w:ascii="仿宋_GB2312" w:hAnsi="Times New Roman" w:eastAsia="仿宋_GB2312" w:cs="Times New Roman"/>
          <w:color w:val="auto"/>
          <w:sz w:val="32"/>
          <w:szCs w:val="32"/>
          <w:lang w:eastAsia="zh-CN"/>
        </w:rPr>
        <w:t>以下方向：</w:t>
      </w:r>
    </w:p>
    <w:p w14:paraId="452DD6D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Calibri" w:eastAsia="仿宋_GB2312" w:cs="Times New Roman"/>
          <w:b w:val="0"/>
          <w:bCs w:val="0"/>
          <w:color w:val="auto"/>
          <w:sz w:val="32"/>
          <w:szCs w:val="32"/>
          <w:highlight w:val="none"/>
          <w:lang w:val="en-US" w:eastAsia="zh-CN"/>
        </w:rPr>
      </w:pPr>
      <w:r>
        <w:rPr>
          <w:rFonts w:hint="eastAsia" w:ascii="仿宋_GB2312" w:hAnsi="Calibri" w:eastAsia="仿宋_GB2312" w:cs="Times New Roman"/>
          <w:b w:val="0"/>
          <w:bCs w:val="0"/>
          <w:color w:val="auto"/>
          <w:sz w:val="32"/>
          <w:szCs w:val="32"/>
          <w:highlight w:val="none"/>
          <w:lang w:val="en-US" w:eastAsia="zh-CN"/>
        </w:rPr>
        <w:t>（一）科技创新策源。支持战略科技力量布局，鼓励国家实验室、新型研发机构等各类创新主体围绕重点领域加速研发创新，筑牢科技创新根基和底座。推动产业链融通发展，强化企业科技创新主体地位，鼓励开展跨领域技术研究，加强前沿引领、颠覆性、关键共性等技术攻关，培育壮大战新产业和未来产业，发展新质生产力。</w:t>
      </w:r>
    </w:p>
    <w:p w14:paraId="78F31E7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Calibri" w:eastAsia="仿宋_GB2312" w:cs="Times New Roman"/>
          <w:b w:val="0"/>
          <w:bCs w:val="0"/>
          <w:color w:val="auto"/>
          <w:sz w:val="32"/>
          <w:szCs w:val="32"/>
          <w:highlight w:val="none"/>
          <w:lang w:val="en-US" w:eastAsia="zh-CN"/>
        </w:rPr>
      </w:pPr>
      <w:r>
        <w:rPr>
          <w:rFonts w:hint="eastAsia" w:ascii="仿宋_GB2312" w:hAnsi="Calibri" w:eastAsia="仿宋_GB2312" w:cs="Times New Roman"/>
          <w:b w:val="0"/>
          <w:bCs w:val="0"/>
          <w:color w:val="auto"/>
          <w:sz w:val="32"/>
          <w:szCs w:val="32"/>
          <w:highlight w:val="none"/>
          <w:lang w:val="en-US" w:eastAsia="zh-CN"/>
        </w:rPr>
        <w:t>（二）科技成果孵化转化。增强成果转化效能，强化孵化转化全链条各环节服务体系专业化水平，支持产业服务机构和技术服务平台发展，支持高质量孵化器提质增效。支持产学研合作，鼓励科技成果联合开发、落地转化、产业化合作。</w:t>
      </w:r>
    </w:p>
    <w:p w14:paraId="704AC574">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Times New Roman" w:eastAsia="仿宋_GB2312" w:cs="Times New Roman"/>
          <w:b w:val="0"/>
          <w:bCs w:val="0"/>
          <w:color w:val="auto"/>
          <w:kern w:val="2"/>
          <w:sz w:val="32"/>
          <w:szCs w:val="32"/>
          <w:highlight w:val="none"/>
          <w:lang w:val="en-US" w:eastAsia="zh-CN" w:bidi="ar-SA"/>
        </w:rPr>
      </w:pPr>
      <w:r>
        <w:rPr>
          <w:rFonts w:hint="eastAsia" w:ascii="仿宋_GB2312" w:hAnsi="Calibri" w:eastAsia="仿宋_GB2312" w:cs="Times New Roman"/>
          <w:b w:val="0"/>
          <w:bCs w:val="0"/>
          <w:color w:val="auto"/>
          <w:kern w:val="2"/>
          <w:sz w:val="32"/>
          <w:szCs w:val="32"/>
          <w:highlight w:val="none"/>
          <w:lang w:val="en-US" w:eastAsia="zh-CN" w:bidi="ar-SA"/>
        </w:rPr>
        <w:t>（三）</w:t>
      </w:r>
      <w:r>
        <w:rPr>
          <w:rFonts w:hint="eastAsia" w:ascii="仿宋_GB2312" w:eastAsia="仿宋_GB2312" w:cs="Times New Roman"/>
          <w:b w:val="0"/>
          <w:bCs w:val="0"/>
          <w:color w:val="auto"/>
          <w:kern w:val="2"/>
          <w:sz w:val="32"/>
          <w:szCs w:val="32"/>
          <w:highlight w:val="none"/>
          <w:lang w:val="en-US" w:eastAsia="zh-CN" w:bidi="ar-SA"/>
        </w:rPr>
        <w:t>科技</w:t>
      </w:r>
      <w:r>
        <w:rPr>
          <w:rFonts w:hint="eastAsia" w:ascii="仿宋_GB2312" w:hAnsi="Times New Roman" w:eastAsia="仿宋_GB2312" w:cs="Times New Roman"/>
          <w:b w:val="0"/>
          <w:bCs w:val="0"/>
          <w:color w:val="auto"/>
          <w:kern w:val="2"/>
          <w:sz w:val="32"/>
          <w:szCs w:val="32"/>
          <w:highlight w:val="none"/>
          <w:lang w:val="en-US" w:eastAsia="zh-CN" w:bidi="ar-SA"/>
        </w:rPr>
        <w:t>产业高质量发展。</w:t>
      </w:r>
      <w:r>
        <w:rPr>
          <w:rFonts w:hint="eastAsia" w:ascii="仿宋_GB2312" w:eastAsia="仿宋_GB2312" w:cs="Times New Roman"/>
          <w:b w:val="0"/>
          <w:bCs w:val="0"/>
          <w:color w:val="auto"/>
          <w:kern w:val="2"/>
          <w:sz w:val="32"/>
          <w:szCs w:val="32"/>
          <w:highlight w:val="none"/>
          <w:lang w:val="en-US" w:eastAsia="zh-CN" w:bidi="ar-SA"/>
        </w:rPr>
        <w:t>培育创新型企业梯队，支持企业提升创新能级和核心竞争力，鼓励企业规模化发展。聚焦重点产品研发、示范应用与数字赋能，鼓励企业开展创新合作和融通创新，推动生命健康、合成生物等产业向更高水平发展</w:t>
      </w:r>
      <w:r>
        <w:rPr>
          <w:rFonts w:hint="eastAsia" w:ascii="仿宋_GB2312" w:hAnsi="Times New Roman" w:eastAsia="仿宋_GB2312" w:cs="Times New Roman"/>
          <w:b w:val="0"/>
          <w:bCs w:val="0"/>
          <w:color w:val="auto"/>
          <w:kern w:val="2"/>
          <w:sz w:val="32"/>
          <w:szCs w:val="32"/>
          <w:highlight w:val="none"/>
          <w:lang w:val="en-US" w:eastAsia="zh-CN" w:bidi="ar-SA"/>
        </w:rPr>
        <w:t>。</w:t>
      </w:r>
    </w:p>
    <w:p w14:paraId="379B0FAE">
      <w:pPr>
        <w:pStyle w:val="2"/>
        <w:rPr>
          <w:rFonts w:hint="eastAsia"/>
          <w:highlight w:val="yellow"/>
          <w:lang w:val="en-US" w:eastAsia="zh-CN"/>
        </w:rPr>
      </w:pPr>
      <w:r>
        <w:rPr>
          <w:rFonts w:hint="eastAsia" w:ascii="仿宋_GB2312" w:hAnsi="Times New Roman" w:cs="Times New Roman"/>
          <w:b w:val="0"/>
          <w:bCs w:val="0"/>
          <w:color w:val="auto"/>
          <w:kern w:val="2"/>
          <w:sz w:val="32"/>
          <w:szCs w:val="32"/>
          <w:highlight w:val="none"/>
          <w:lang w:val="en-US" w:eastAsia="zh-CN" w:bidi="ar-SA"/>
        </w:rPr>
        <w:t>（四）</w:t>
      </w:r>
      <w:r>
        <w:rPr>
          <w:rFonts w:hint="eastAsia" w:ascii="仿宋_GB2312" w:cs="Times New Roman"/>
          <w:b w:val="0"/>
          <w:bCs w:val="0"/>
          <w:color w:val="auto"/>
          <w:kern w:val="2"/>
          <w:sz w:val="32"/>
          <w:szCs w:val="32"/>
          <w:highlight w:val="none"/>
          <w:lang w:val="en-US" w:eastAsia="zh-CN" w:bidi="ar-SA"/>
        </w:rPr>
        <w:t>科技</w:t>
      </w:r>
      <w:r>
        <w:rPr>
          <w:rFonts w:hint="eastAsia" w:ascii="仿宋_GB2312" w:hAnsi="Times New Roman" w:cs="Times New Roman"/>
          <w:b w:val="0"/>
          <w:bCs w:val="0"/>
          <w:color w:val="auto"/>
          <w:kern w:val="2"/>
          <w:sz w:val="32"/>
          <w:szCs w:val="32"/>
          <w:highlight w:val="none"/>
          <w:lang w:val="en-US" w:eastAsia="zh-CN" w:bidi="ar-SA"/>
        </w:rPr>
        <w:t>创新生态</w:t>
      </w:r>
      <w:r>
        <w:rPr>
          <w:rFonts w:hint="eastAsia" w:ascii="仿宋_GB2312" w:cs="Times New Roman"/>
          <w:b w:val="0"/>
          <w:bCs w:val="0"/>
          <w:color w:val="auto"/>
          <w:kern w:val="2"/>
          <w:sz w:val="32"/>
          <w:szCs w:val="32"/>
          <w:highlight w:val="none"/>
          <w:lang w:val="en-US" w:eastAsia="zh-CN" w:bidi="ar-SA"/>
        </w:rPr>
        <w:t>建设</w:t>
      </w:r>
      <w:r>
        <w:rPr>
          <w:rFonts w:hint="eastAsia" w:ascii="仿宋_GB2312" w:hAnsi="Times New Roman" w:cs="Times New Roman"/>
          <w:b w:val="0"/>
          <w:bCs w:val="0"/>
          <w:color w:val="auto"/>
          <w:kern w:val="2"/>
          <w:sz w:val="32"/>
          <w:szCs w:val="32"/>
          <w:highlight w:val="none"/>
          <w:lang w:val="en-US" w:eastAsia="zh-CN" w:bidi="ar-SA"/>
        </w:rPr>
        <w:t>。优化载体</w:t>
      </w:r>
      <w:r>
        <w:rPr>
          <w:rFonts w:hint="eastAsia" w:ascii="仿宋_GB2312" w:cs="Times New Roman"/>
          <w:b w:val="0"/>
          <w:bCs w:val="0"/>
          <w:color w:val="auto"/>
          <w:kern w:val="2"/>
          <w:sz w:val="32"/>
          <w:szCs w:val="32"/>
          <w:highlight w:val="none"/>
          <w:lang w:val="en-US" w:eastAsia="zh-CN" w:bidi="ar-SA"/>
        </w:rPr>
        <w:t>空间，支持科创街区改善软硬件环境、提升服务能级，落实高质量孵化器环评便利化措施，保障产业空间供给。强化品牌打造，支持创新主体举办有影响力的科技创新和产业发展活动，提升文化软实力。</w:t>
      </w:r>
    </w:p>
    <w:p w14:paraId="27FCC55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Calibri" w:eastAsia="仿宋_GB2312" w:cs="Times New Roman"/>
          <w:b w:val="0"/>
          <w:bCs w:val="0"/>
          <w:color w:val="auto"/>
          <w:sz w:val="32"/>
          <w:szCs w:val="32"/>
          <w:lang w:eastAsia="zh-CN"/>
        </w:rPr>
      </w:pPr>
      <w:r>
        <w:rPr>
          <w:rFonts w:hint="eastAsia" w:ascii="仿宋_GB2312" w:hAnsi="Calibri" w:eastAsia="仿宋_GB2312" w:cs="Times New Roman"/>
          <w:b w:val="0"/>
          <w:bCs w:val="0"/>
          <w:color w:val="auto"/>
          <w:sz w:val="32"/>
          <w:szCs w:val="32"/>
          <w:lang w:eastAsia="zh-CN"/>
        </w:rPr>
        <w:t>（五）国家和上海市明确支持的其他科技产业项目。</w:t>
      </w:r>
    </w:p>
    <w:p w14:paraId="5015EAE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Calibri" w:eastAsia="仿宋_GB2312" w:cs="Times New Roman"/>
          <w:b w:val="0"/>
          <w:bCs w:val="0"/>
          <w:color w:val="auto"/>
          <w:sz w:val="32"/>
          <w:szCs w:val="32"/>
          <w:lang w:eastAsia="zh-CN"/>
        </w:rPr>
      </w:pPr>
      <w:r>
        <w:rPr>
          <w:rFonts w:hint="eastAsia" w:ascii="仿宋_GB2312" w:hAnsi="Calibri" w:eastAsia="仿宋_GB2312" w:cs="Times New Roman"/>
          <w:b w:val="0"/>
          <w:bCs w:val="0"/>
          <w:color w:val="auto"/>
          <w:sz w:val="32"/>
          <w:szCs w:val="32"/>
          <w:lang w:eastAsia="zh-CN"/>
        </w:rPr>
        <w:t>（六）国家和上海市明确规定的配套项目。</w:t>
      </w:r>
    </w:p>
    <w:p w14:paraId="2C5858AA">
      <w:pPr>
        <w:pStyle w:val="2"/>
        <w:rPr>
          <w:rFonts w:hint="eastAsia" w:ascii="仿宋_GB2312" w:hAnsi="Calibri" w:eastAsia="仿宋_GB2312" w:cs="Times New Roman"/>
          <w:b w:val="0"/>
          <w:bCs w:val="0"/>
          <w:color w:val="auto"/>
          <w:sz w:val="32"/>
          <w:szCs w:val="32"/>
          <w:lang w:eastAsia="zh-CN"/>
        </w:rPr>
      </w:pPr>
      <w:r>
        <w:rPr>
          <w:rFonts w:hint="eastAsia" w:ascii="仿宋_GB2312" w:hAnsi="Calibri" w:eastAsia="仿宋_GB2312" w:cs="Times New Roman"/>
          <w:b w:val="0"/>
          <w:bCs w:val="0"/>
          <w:color w:val="auto"/>
          <w:sz w:val="32"/>
          <w:szCs w:val="32"/>
          <w:lang w:eastAsia="zh-CN"/>
        </w:rPr>
        <w:t>（</w:t>
      </w:r>
      <w:r>
        <w:rPr>
          <w:rFonts w:hint="eastAsia" w:ascii="仿宋_GB2312" w:hAnsi="Calibri" w:cs="Times New Roman"/>
          <w:b w:val="0"/>
          <w:bCs w:val="0"/>
          <w:color w:val="auto"/>
          <w:sz w:val="32"/>
          <w:szCs w:val="32"/>
          <w:lang w:eastAsia="zh-CN"/>
        </w:rPr>
        <w:t>七</w:t>
      </w:r>
      <w:r>
        <w:rPr>
          <w:rFonts w:hint="eastAsia" w:ascii="仿宋_GB2312" w:hAnsi="Calibri" w:eastAsia="仿宋_GB2312" w:cs="Times New Roman"/>
          <w:b w:val="0"/>
          <w:bCs w:val="0"/>
          <w:color w:val="auto"/>
          <w:sz w:val="32"/>
          <w:szCs w:val="32"/>
          <w:lang w:eastAsia="zh-CN"/>
        </w:rPr>
        <w:t>）其他经区委、区政府批准需要扶持的</w:t>
      </w:r>
      <w:r>
        <w:rPr>
          <w:rFonts w:hint="eastAsia" w:ascii="仿宋_GB2312" w:hAnsi="Calibri" w:cs="Times New Roman"/>
          <w:b w:val="0"/>
          <w:bCs w:val="0"/>
          <w:color w:val="auto"/>
          <w:sz w:val="32"/>
          <w:szCs w:val="32"/>
          <w:lang w:eastAsia="zh-CN"/>
        </w:rPr>
        <w:t>项目</w:t>
      </w:r>
      <w:r>
        <w:rPr>
          <w:rFonts w:hint="eastAsia" w:ascii="仿宋_GB2312" w:hAnsi="Calibri" w:eastAsia="仿宋_GB2312" w:cs="Times New Roman"/>
          <w:b w:val="0"/>
          <w:bCs w:val="0"/>
          <w:color w:val="auto"/>
          <w:sz w:val="32"/>
          <w:szCs w:val="32"/>
          <w:lang w:eastAsia="zh-CN"/>
        </w:rPr>
        <w:t>。</w:t>
      </w:r>
    </w:p>
    <w:p w14:paraId="0BFAF64B">
      <w:pPr>
        <w:pStyle w:val="2"/>
        <w:bidi w:val="0"/>
        <w:rPr>
          <w:rFonts w:hint="eastAsia"/>
          <w:lang w:val="en-US" w:eastAsia="zh-CN"/>
        </w:rPr>
      </w:pPr>
      <w:r>
        <w:rPr>
          <w:rFonts w:hint="eastAsia" w:ascii="楷体" w:hAnsi="楷体" w:eastAsia="楷体" w:cs="楷体"/>
          <w:b/>
          <w:bCs/>
          <w:lang w:val="en-US" w:eastAsia="zh-CN"/>
        </w:rPr>
        <w:t>第六条</w:t>
      </w:r>
      <w:r>
        <w:rPr>
          <w:rFonts w:hint="eastAsia"/>
          <w:lang w:val="en-US" w:eastAsia="zh-CN"/>
        </w:rPr>
        <w:t xml:space="preserve">  专项资金主要采取前补助与后补助的支持方式，包括无偿资助、绩效奖补、市区配套等形式，健全差异化管理要求，实施“竞争评审”“免申即享”等多种立项支持方式，同一项目原则上只采取一种支持方式。具体支持方式和标准由区科委根据相关政策实施细则和支持项目实际情况确定。除区委、区政府明确聚焦支持的内容外，如同时可享受本区其他同类政策的，按照“从高不重复”原则执行。</w:t>
      </w:r>
    </w:p>
    <w:p w14:paraId="5C3BE893">
      <w:pPr>
        <w:pStyle w:val="2"/>
        <w:bidi w:val="0"/>
        <w:rPr>
          <w:rFonts w:hint="eastAsia"/>
          <w:lang w:val="en-US" w:eastAsia="zh-CN"/>
        </w:rPr>
      </w:pPr>
    </w:p>
    <w:p w14:paraId="5873B79C">
      <w:pPr>
        <w:pStyle w:val="4"/>
        <w:bidi w:val="0"/>
        <w:ind w:left="0" w:leftChars="0" w:right="0" w:rightChars="0" w:firstLine="0" w:firstLineChars="0"/>
        <w:jc w:val="center"/>
        <w:rPr>
          <w:rFonts w:hint="default"/>
          <w:lang w:val="en-US" w:eastAsia="zh-CN"/>
        </w:rPr>
      </w:pPr>
      <w:r>
        <w:rPr>
          <w:rFonts w:hint="eastAsia"/>
          <w:lang w:eastAsia="zh-CN"/>
        </w:rPr>
        <w:t>第三章</w:t>
      </w:r>
      <w:r>
        <w:rPr>
          <w:rFonts w:hint="eastAsia"/>
          <w:lang w:val="en-US" w:eastAsia="zh-CN"/>
        </w:rPr>
        <w:t xml:space="preserve">   预算管理</w:t>
      </w:r>
    </w:p>
    <w:p w14:paraId="48669121">
      <w:pPr>
        <w:pStyle w:val="2"/>
        <w:bidi w:val="0"/>
        <w:rPr>
          <w:rFonts w:hint="eastAsia"/>
          <w:lang w:val="en-US" w:eastAsia="zh-CN"/>
        </w:rPr>
      </w:pPr>
      <w:r>
        <w:rPr>
          <w:rFonts w:hint="eastAsia" w:ascii="楷体" w:hAnsi="楷体" w:eastAsia="楷体" w:cs="楷体"/>
          <w:b/>
          <w:bCs/>
          <w:lang w:val="en-US" w:eastAsia="zh-CN"/>
        </w:rPr>
        <w:t>第七条</w:t>
      </w:r>
      <w:r>
        <w:rPr>
          <w:rFonts w:hint="eastAsia"/>
          <w:lang w:val="en-US" w:eastAsia="zh-CN"/>
        </w:rPr>
        <w:t xml:space="preserve">  区科委根据部门预算编制的相关要求，结合科技创新规划，依据下一年度重点工作和支持力度，编制年度专项资金初步分配方案，纳入区科委部门预算，按规定程序报送区财政局。</w:t>
      </w:r>
    </w:p>
    <w:p w14:paraId="385957C7">
      <w:pPr>
        <w:pStyle w:val="2"/>
        <w:bidi w:val="0"/>
        <w:rPr>
          <w:rFonts w:hint="eastAsia"/>
          <w:lang w:val="en-US" w:eastAsia="zh-CN"/>
        </w:rPr>
      </w:pPr>
      <w:r>
        <w:rPr>
          <w:rFonts w:hint="eastAsia" w:ascii="楷体" w:hAnsi="楷体" w:eastAsia="楷体" w:cs="楷体"/>
          <w:b/>
          <w:bCs/>
          <w:lang w:val="en-US" w:eastAsia="zh-CN"/>
        </w:rPr>
        <w:t>第八条</w:t>
      </w:r>
      <w:r>
        <w:rPr>
          <w:rFonts w:hint="eastAsia"/>
          <w:lang w:val="en-US" w:eastAsia="zh-CN"/>
        </w:rPr>
        <w:t xml:space="preserve">  区财政局按规定程序批复专项资金年度预算下达至区科委，区科委组织开展立项工作确定具体支持项目，并根据项目支持方式和标准，确定支持资金数额，及时安排支出。</w:t>
      </w:r>
    </w:p>
    <w:p w14:paraId="701E7C7E">
      <w:pPr>
        <w:pStyle w:val="2"/>
        <w:bidi w:val="0"/>
        <w:rPr>
          <w:rFonts w:hint="eastAsia"/>
          <w:lang w:val="en-US" w:eastAsia="zh-CN"/>
        </w:rPr>
      </w:pPr>
      <w:r>
        <w:rPr>
          <w:rFonts w:hint="eastAsia"/>
          <w:lang w:val="en-US" w:eastAsia="zh-CN"/>
        </w:rPr>
        <w:t>专项资金年度预算一经批准下达，必须严格执行。预算执行中确需调整年度预算的，按照区级部门预算动态调整管理的有关规定执行。</w:t>
      </w:r>
    </w:p>
    <w:p w14:paraId="73FE1D66">
      <w:pPr>
        <w:pStyle w:val="2"/>
        <w:bidi w:val="0"/>
        <w:rPr>
          <w:rFonts w:hint="eastAsia"/>
          <w:lang w:val="en-US" w:eastAsia="zh-CN"/>
        </w:rPr>
      </w:pPr>
      <w:r>
        <w:rPr>
          <w:rFonts w:hint="eastAsia" w:ascii="楷体" w:hAnsi="楷体" w:eastAsia="楷体" w:cs="楷体"/>
          <w:b/>
          <w:bCs/>
          <w:lang w:val="en-US" w:eastAsia="zh-CN"/>
        </w:rPr>
        <w:t>第九条</w:t>
      </w:r>
      <w:r>
        <w:rPr>
          <w:rFonts w:hint="eastAsia"/>
          <w:lang w:val="en-US" w:eastAsia="zh-CN"/>
        </w:rPr>
        <w:t xml:space="preserve">  区科委根据年度预算批复，在批准的预算额度内向区财政局申请拨款。区财政局按规定审核后，按照国库集中支付的管理要求，拨付专项资金。</w:t>
      </w:r>
    </w:p>
    <w:p w14:paraId="3D32966E">
      <w:pPr>
        <w:pStyle w:val="2"/>
        <w:bidi w:val="0"/>
        <w:rPr>
          <w:rFonts w:hint="eastAsia"/>
          <w:lang w:val="en-US" w:eastAsia="zh-CN"/>
        </w:rPr>
      </w:pPr>
      <w:r>
        <w:rPr>
          <w:rFonts w:hint="eastAsia"/>
          <w:lang w:val="en-US" w:eastAsia="zh-CN"/>
        </w:rPr>
        <w:t>专项资金结转结余资金的使用，按照上海市及本区有关规定执行。</w:t>
      </w:r>
    </w:p>
    <w:p w14:paraId="125C7A21">
      <w:pPr>
        <w:pStyle w:val="2"/>
        <w:bidi w:val="0"/>
        <w:rPr>
          <w:rFonts w:hint="eastAsia"/>
          <w:lang w:val="en-US" w:eastAsia="zh-CN"/>
        </w:rPr>
      </w:pPr>
    </w:p>
    <w:p w14:paraId="355A3569">
      <w:pPr>
        <w:pStyle w:val="2"/>
        <w:ind w:left="0" w:leftChars="0" w:right="0" w:rightChars="0" w:firstLine="0" w:firstLineChars="0"/>
        <w:jc w:val="center"/>
        <w:rPr>
          <w:rFonts w:hint="eastAsia" w:ascii="黑体" w:hAnsi="黑体" w:eastAsia="黑体" w:cs="Times New Roman"/>
          <w:kern w:val="2"/>
          <w:sz w:val="32"/>
          <w:szCs w:val="32"/>
          <w:lang w:val="en-US" w:eastAsia="zh-CN" w:bidi="ar-SA"/>
        </w:rPr>
      </w:pPr>
      <w:r>
        <w:rPr>
          <w:rFonts w:hint="eastAsia" w:ascii="黑体" w:hAnsi="黑体" w:eastAsia="黑体" w:cs="Times New Roman"/>
          <w:kern w:val="2"/>
          <w:sz w:val="32"/>
          <w:szCs w:val="32"/>
          <w:lang w:val="en-US" w:eastAsia="zh-CN" w:bidi="ar-SA"/>
        </w:rPr>
        <w:t xml:space="preserve">第四章   </w:t>
      </w:r>
      <w:r>
        <w:rPr>
          <w:rFonts w:hint="eastAsia" w:ascii="黑体" w:hAnsi="黑体" w:eastAsia="黑体" w:cs="仿宋_GB2312"/>
          <w:bCs/>
          <w:color w:val="auto"/>
          <w:sz w:val="32"/>
          <w:szCs w:val="32"/>
          <w:lang w:eastAsia="zh-CN"/>
        </w:rPr>
        <w:t>申报程序</w:t>
      </w:r>
    </w:p>
    <w:p w14:paraId="7FD748E8">
      <w:pPr>
        <w:pStyle w:val="2"/>
        <w:bidi w:val="0"/>
        <w:rPr>
          <w:rFonts w:hint="eastAsia"/>
          <w:lang w:val="en-US" w:eastAsia="zh-CN"/>
        </w:rPr>
      </w:pPr>
      <w:r>
        <w:rPr>
          <w:rFonts w:hint="eastAsia" w:ascii="楷体" w:hAnsi="楷体" w:eastAsia="楷体" w:cs="楷体"/>
          <w:b/>
          <w:bCs/>
          <w:lang w:val="en-US" w:eastAsia="zh-CN"/>
        </w:rPr>
        <w:t>第十条</w:t>
      </w:r>
      <w:r>
        <w:rPr>
          <w:rFonts w:hint="eastAsia"/>
          <w:lang w:val="en-US" w:eastAsia="zh-CN"/>
        </w:rPr>
        <w:t xml:space="preserve">  区科委根据专项资金支持方向，在一定渠道内发布专项资金相关政策、项目指南或受理通知等。申报单位根据要求及时向区科委提交申报材料，并承诺对申报材料的真实性、合法性和准确性负责。</w:t>
      </w:r>
    </w:p>
    <w:p w14:paraId="692C056C">
      <w:pPr>
        <w:pStyle w:val="2"/>
        <w:bidi w:val="0"/>
        <w:rPr>
          <w:rFonts w:hint="eastAsia"/>
          <w:lang w:val="en-US" w:eastAsia="zh-CN"/>
        </w:rPr>
      </w:pPr>
      <w:r>
        <w:rPr>
          <w:rFonts w:hint="eastAsia"/>
          <w:lang w:val="en-US" w:eastAsia="zh-CN"/>
        </w:rPr>
        <w:t>区科委根据相关的政策规定，对申报单位的项目材料予以受理，并通过分类认定、专家评审或综合评估等方式，确定立项支持的项目和专项资金数额。</w:t>
      </w:r>
    </w:p>
    <w:p w14:paraId="6B7B9486">
      <w:pPr>
        <w:pStyle w:val="2"/>
        <w:bidi w:val="0"/>
        <w:rPr>
          <w:rFonts w:hint="eastAsia"/>
          <w:lang w:val="en-US" w:eastAsia="zh-CN"/>
        </w:rPr>
      </w:pPr>
    </w:p>
    <w:p w14:paraId="7A3A57A6">
      <w:pPr>
        <w:pStyle w:val="2"/>
        <w:ind w:left="0" w:leftChars="0" w:right="0" w:rightChars="0" w:firstLine="0" w:firstLineChars="0"/>
        <w:jc w:val="center"/>
        <w:rPr>
          <w:rFonts w:hint="eastAsia" w:ascii="黑体" w:hAnsi="黑体" w:eastAsia="黑体" w:cs="Times New Roman"/>
          <w:kern w:val="2"/>
          <w:sz w:val="32"/>
          <w:szCs w:val="32"/>
          <w:lang w:val="en-US" w:eastAsia="zh-CN" w:bidi="ar-SA"/>
        </w:rPr>
      </w:pPr>
      <w:r>
        <w:rPr>
          <w:rFonts w:hint="eastAsia" w:ascii="黑体" w:hAnsi="黑体" w:eastAsia="黑体" w:cs="Times New Roman"/>
          <w:kern w:val="2"/>
          <w:sz w:val="32"/>
          <w:szCs w:val="32"/>
          <w:lang w:val="en-US" w:eastAsia="zh-CN" w:bidi="ar-SA"/>
        </w:rPr>
        <w:t xml:space="preserve">第五章   </w:t>
      </w:r>
      <w:r>
        <w:rPr>
          <w:rFonts w:hint="eastAsia" w:ascii="黑体" w:hAnsi="黑体" w:eastAsia="黑体" w:cs="仿宋_GB2312"/>
          <w:bCs/>
          <w:color w:val="auto"/>
          <w:sz w:val="32"/>
          <w:szCs w:val="32"/>
          <w:lang w:eastAsia="zh-CN"/>
        </w:rPr>
        <w:t>监督管理</w:t>
      </w:r>
    </w:p>
    <w:p w14:paraId="284796EB">
      <w:pPr>
        <w:pStyle w:val="2"/>
        <w:rPr>
          <w:rFonts w:hint="default"/>
          <w:lang w:val="en-US" w:eastAsia="zh-CN"/>
        </w:rPr>
      </w:pPr>
      <w:r>
        <w:rPr>
          <w:rFonts w:hint="default" w:ascii="楷体" w:hAnsi="楷体" w:eastAsia="楷体" w:cs="楷体"/>
          <w:b/>
          <w:bCs/>
          <w:lang w:val="en-US" w:eastAsia="zh-CN"/>
        </w:rPr>
        <w:t>第十一条</w:t>
      </w:r>
      <w:r>
        <w:rPr>
          <w:rFonts w:hint="eastAsia"/>
          <w:lang w:val="en-US" w:eastAsia="zh-CN"/>
        </w:rPr>
        <w:t xml:space="preserve">  </w:t>
      </w:r>
      <w:r>
        <w:rPr>
          <w:rFonts w:hint="default"/>
          <w:lang w:val="en-US" w:eastAsia="zh-CN"/>
        </w:rPr>
        <w:t>健全信息公开制度。</w:t>
      </w:r>
      <w:r>
        <w:rPr>
          <w:rFonts w:hint="eastAsia"/>
          <w:lang w:val="en-US" w:eastAsia="zh-CN"/>
        </w:rPr>
        <w:t>区</w:t>
      </w:r>
      <w:r>
        <w:rPr>
          <w:rFonts w:hint="default"/>
          <w:lang w:val="en-US" w:eastAsia="zh-CN"/>
        </w:rPr>
        <w:t>科委按照国家</w:t>
      </w:r>
      <w:r>
        <w:rPr>
          <w:rFonts w:hint="eastAsia"/>
          <w:lang w:val="en-US" w:eastAsia="zh-CN"/>
        </w:rPr>
        <w:t>、上海</w:t>
      </w:r>
      <w:r>
        <w:rPr>
          <w:rFonts w:hint="default"/>
          <w:lang w:val="en-US" w:eastAsia="zh-CN"/>
        </w:rPr>
        <w:t>市</w:t>
      </w:r>
      <w:r>
        <w:rPr>
          <w:rFonts w:hint="eastAsia"/>
          <w:lang w:val="en-US" w:eastAsia="zh-CN"/>
        </w:rPr>
        <w:t>和本区</w:t>
      </w:r>
      <w:r>
        <w:rPr>
          <w:rFonts w:hint="default"/>
          <w:lang w:val="en-US" w:eastAsia="zh-CN"/>
        </w:rPr>
        <w:t>有关规定</w:t>
      </w:r>
      <w:r>
        <w:rPr>
          <w:rFonts w:hint="eastAsia"/>
          <w:lang w:val="en-US" w:eastAsia="zh-CN"/>
        </w:rPr>
        <w:t>，</w:t>
      </w:r>
      <w:r>
        <w:rPr>
          <w:rFonts w:hint="default"/>
          <w:lang w:val="en-US" w:eastAsia="zh-CN"/>
        </w:rPr>
        <w:t>向社会公开专项资金安排情况等信息</w:t>
      </w:r>
      <w:r>
        <w:rPr>
          <w:rFonts w:hint="eastAsia"/>
          <w:lang w:val="en-US" w:eastAsia="zh-CN"/>
        </w:rPr>
        <w:t>，</w:t>
      </w:r>
      <w:r>
        <w:rPr>
          <w:rFonts w:hint="default"/>
          <w:lang w:val="en-US" w:eastAsia="zh-CN"/>
        </w:rPr>
        <w:t>接受社会监督。</w:t>
      </w:r>
    </w:p>
    <w:p w14:paraId="1F75FBB0">
      <w:pPr>
        <w:pStyle w:val="2"/>
        <w:rPr>
          <w:rFonts w:hint="default"/>
          <w:lang w:val="en-US" w:eastAsia="zh-CN"/>
        </w:rPr>
      </w:pPr>
      <w:r>
        <w:rPr>
          <w:rFonts w:hint="default" w:ascii="楷体" w:hAnsi="楷体" w:eastAsia="楷体" w:cs="楷体"/>
          <w:b/>
          <w:bCs/>
          <w:lang w:val="en-US" w:eastAsia="zh-CN"/>
        </w:rPr>
        <w:t>第十二条</w:t>
      </w:r>
      <w:r>
        <w:rPr>
          <w:rFonts w:hint="eastAsia"/>
          <w:lang w:val="en-US" w:eastAsia="zh-CN"/>
        </w:rPr>
        <w:t xml:space="preserve">  区</w:t>
      </w:r>
      <w:r>
        <w:rPr>
          <w:rFonts w:hint="default"/>
          <w:lang w:val="en-US" w:eastAsia="zh-CN"/>
        </w:rPr>
        <w:t>科委、</w:t>
      </w:r>
      <w:r>
        <w:rPr>
          <w:rFonts w:hint="eastAsia"/>
          <w:lang w:val="en-US" w:eastAsia="zh-CN"/>
        </w:rPr>
        <w:t>区</w:t>
      </w:r>
      <w:r>
        <w:rPr>
          <w:rFonts w:hint="default"/>
          <w:lang w:val="en-US" w:eastAsia="zh-CN"/>
        </w:rPr>
        <w:t>财政局根据专项资金使用要求和预算绩效管理的要求</w:t>
      </w:r>
      <w:r>
        <w:rPr>
          <w:rFonts w:hint="eastAsia"/>
          <w:lang w:val="en-US" w:eastAsia="zh-CN"/>
        </w:rPr>
        <w:t>，加强项目跟踪管理，落实项目绩效评价，提高专项资金使用效益，</w:t>
      </w:r>
      <w:r>
        <w:rPr>
          <w:rFonts w:hint="default"/>
          <w:lang w:val="en-US" w:eastAsia="zh-CN"/>
        </w:rPr>
        <w:t>强化绩效结果运用</w:t>
      </w:r>
      <w:r>
        <w:rPr>
          <w:rFonts w:hint="eastAsia"/>
          <w:lang w:val="en-US" w:eastAsia="zh-CN"/>
        </w:rPr>
        <w:t>，</w:t>
      </w:r>
      <w:r>
        <w:rPr>
          <w:rFonts w:hint="default"/>
          <w:lang w:val="en-US" w:eastAsia="zh-CN"/>
        </w:rPr>
        <w:t>做好绩效信息公开。</w:t>
      </w:r>
    </w:p>
    <w:p w14:paraId="234B9A9F">
      <w:pPr>
        <w:pStyle w:val="2"/>
        <w:rPr>
          <w:rFonts w:hint="default"/>
          <w:lang w:val="en-US" w:eastAsia="zh-CN"/>
        </w:rPr>
      </w:pPr>
      <w:r>
        <w:rPr>
          <w:rFonts w:hint="eastAsia" w:ascii="楷体" w:hAnsi="楷体" w:eastAsia="楷体" w:cs="楷体"/>
          <w:b/>
          <w:bCs/>
          <w:lang w:val="en-US" w:eastAsia="zh-CN"/>
        </w:rPr>
        <w:t>第十三条</w:t>
      </w:r>
      <w:r>
        <w:rPr>
          <w:rFonts w:hint="eastAsia"/>
          <w:lang w:val="en-US" w:eastAsia="zh-CN"/>
        </w:rPr>
        <w:t xml:space="preserve">  区</w:t>
      </w:r>
      <w:r>
        <w:rPr>
          <w:rFonts w:hint="default"/>
          <w:lang w:val="en-US" w:eastAsia="zh-CN"/>
        </w:rPr>
        <w:t>科委、</w:t>
      </w:r>
      <w:r>
        <w:rPr>
          <w:rFonts w:hint="eastAsia"/>
          <w:lang w:val="en-US" w:eastAsia="zh-CN"/>
        </w:rPr>
        <w:t>区</w:t>
      </w:r>
      <w:r>
        <w:rPr>
          <w:rFonts w:hint="default"/>
          <w:lang w:val="en-US" w:eastAsia="zh-CN"/>
        </w:rPr>
        <w:t>财政局可</w:t>
      </w:r>
      <w:r>
        <w:rPr>
          <w:rFonts w:hint="eastAsia"/>
          <w:lang w:val="en-US" w:eastAsia="zh-CN"/>
        </w:rPr>
        <w:t>自行或</w:t>
      </w:r>
      <w:r>
        <w:rPr>
          <w:rFonts w:hint="default"/>
          <w:lang w:val="en-US" w:eastAsia="zh-CN"/>
        </w:rPr>
        <w:t>委托</w:t>
      </w:r>
      <w:r>
        <w:rPr>
          <w:rFonts w:hint="eastAsia"/>
          <w:lang w:val="en-US" w:eastAsia="zh-CN"/>
        </w:rPr>
        <w:t>第三方</w:t>
      </w:r>
      <w:r>
        <w:rPr>
          <w:rFonts w:hint="default"/>
          <w:lang w:val="en-US" w:eastAsia="zh-CN"/>
        </w:rPr>
        <w:t>专业机构对专项资金使用和项目实施情况进行全过程监督检查，确保专项资金规范、安全、高效使用。</w:t>
      </w:r>
    </w:p>
    <w:p w14:paraId="647AA066">
      <w:pPr>
        <w:pStyle w:val="2"/>
        <w:rPr>
          <w:rFonts w:hint="default"/>
          <w:lang w:val="en-US" w:eastAsia="zh-CN"/>
        </w:rPr>
      </w:pPr>
      <w:r>
        <w:rPr>
          <w:rFonts w:hint="default"/>
          <w:lang w:val="en-US" w:eastAsia="zh-CN"/>
        </w:rPr>
        <w:t>专项资金的安排、拨付、使用和管理</w:t>
      </w:r>
      <w:r>
        <w:rPr>
          <w:rFonts w:hint="eastAsia"/>
          <w:lang w:val="en-US" w:eastAsia="zh-CN"/>
        </w:rPr>
        <w:t>，</w:t>
      </w:r>
      <w:r>
        <w:rPr>
          <w:rFonts w:hint="default"/>
          <w:lang w:val="en-US" w:eastAsia="zh-CN"/>
        </w:rPr>
        <w:t>依法接受审计</w:t>
      </w:r>
      <w:r>
        <w:rPr>
          <w:rFonts w:hint="eastAsia"/>
          <w:lang w:val="en-US" w:eastAsia="zh-CN"/>
        </w:rPr>
        <w:t>部门</w:t>
      </w:r>
      <w:r>
        <w:rPr>
          <w:rFonts w:hint="default"/>
          <w:lang w:val="en-US" w:eastAsia="zh-CN"/>
        </w:rPr>
        <w:t>的审计监督</w:t>
      </w:r>
      <w:r>
        <w:rPr>
          <w:rFonts w:hint="eastAsia"/>
          <w:lang w:val="en-US" w:eastAsia="zh-CN"/>
        </w:rPr>
        <w:t>，</w:t>
      </w:r>
      <w:r>
        <w:rPr>
          <w:rFonts w:hint="default"/>
          <w:lang w:val="en-US" w:eastAsia="zh-CN"/>
        </w:rPr>
        <w:t>主动接受</w:t>
      </w:r>
      <w:r>
        <w:rPr>
          <w:rFonts w:hint="eastAsia"/>
          <w:lang w:val="en-US" w:eastAsia="zh-CN"/>
        </w:rPr>
        <w:t>区</w:t>
      </w:r>
      <w:r>
        <w:rPr>
          <w:rFonts w:hint="default"/>
          <w:lang w:val="en-US" w:eastAsia="zh-CN"/>
        </w:rPr>
        <w:t>人大和社会监督。</w:t>
      </w:r>
    </w:p>
    <w:p w14:paraId="790535AB">
      <w:pPr>
        <w:pStyle w:val="2"/>
        <w:keepNext w:val="0"/>
        <w:keepLines w:val="0"/>
        <w:pageBreakBefore w:val="0"/>
        <w:widowControl w:val="0"/>
        <w:numPr>
          <w:ilvl w:val="0"/>
          <w:numId w:val="0"/>
        </w:numPr>
        <w:kinsoku/>
        <w:wordWrap/>
        <w:overflowPunct/>
        <w:topLinePunct w:val="0"/>
        <w:autoSpaceDE/>
        <w:autoSpaceDN/>
        <w:bidi w:val="0"/>
        <w:adjustRightInd/>
        <w:snapToGrid/>
        <w:ind w:firstLine="643" w:firstLineChars="200"/>
        <w:textAlignment w:val="auto"/>
        <w:rPr>
          <w:rFonts w:hint="default"/>
          <w:lang w:val="en-US" w:eastAsia="zh-CN"/>
        </w:rPr>
      </w:pPr>
      <w:r>
        <w:rPr>
          <w:rFonts w:hint="eastAsia" w:ascii="楷体" w:hAnsi="楷体" w:eastAsia="楷体" w:cs="楷体"/>
          <w:b/>
          <w:bCs/>
          <w:lang w:val="en-US" w:eastAsia="zh-CN"/>
        </w:rPr>
        <w:t>第十四条</w:t>
      </w:r>
      <w:r>
        <w:rPr>
          <w:rFonts w:hint="eastAsia"/>
          <w:lang w:val="en-US" w:eastAsia="zh-CN"/>
        </w:rPr>
        <w:t xml:space="preserve">  </w:t>
      </w:r>
      <w:r>
        <w:rPr>
          <w:rFonts w:hint="default"/>
          <w:lang w:val="en-US" w:eastAsia="zh-CN"/>
        </w:rPr>
        <w:t>专项资金应当严格按照国家会计法律法规制度管理使用</w:t>
      </w:r>
      <w:r>
        <w:rPr>
          <w:rFonts w:hint="eastAsia"/>
          <w:lang w:val="en-US" w:eastAsia="zh-CN"/>
        </w:rPr>
        <w:t>，</w:t>
      </w:r>
      <w:r>
        <w:rPr>
          <w:rFonts w:hint="default"/>
          <w:lang w:val="en-US" w:eastAsia="zh-CN"/>
        </w:rPr>
        <w:t>对专项资金使用过程中出现挤占、挪用、</w:t>
      </w:r>
      <w:r>
        <w:rPr>
          <w:rFonts w:hint="eastAsia"/>
          <w:lang w:val="en-US" w:eastAsia="zh-CN"/>
        </w:rPr>
        <w:t>虚列、套取专项</w:t>
      </w:r>
      <w:r>
        <w:rPr>
          <w:rFonts w:hint="default"/>
          <w:lang w:val="en-US" w:eastAsia="zh-CN"/>
        </w:rPr>
        <w:t>资金等违法违规行为</w:t>
      </w:r>
      <w:r>
        <w:rPr>
          <w:rFonts w:hint="eastAsia"/>
          <w:lang w:val="en-US" w:eastAsia="zh-CN"/>
        </w:rPr>
        <w:t>，按照《中华人民共和国预算法》及其实施条例、《财政违法行为处罚处分条例》（国务院令第427号）等法律法规进行处理，</w:t>
      </w:r>
      <w:r>
        <w:rPr>
          <w:rFonts w:hint="default"/>
          <w:lang w:val="en-US" w:eastAsia="zh-CN"/>
        </w:rPr>
        <w:t>并按规定收回已拨付的专项资金。</w:t>
      </w:r>
    </w:p>
    <w:p w14:paraId="1D3B1CF4">
      <w:pPr>
        <w:pStyle w:val="2"/>
        <w:bidi w:val="0"/>
        <w:rPr>
          <w:rFonts w:hint="default"/>
          <w:lang w:val="en-US" w:eastAsia="zh-CN"/>
        </w:rPr>
      </w:pPr>
    </w:p>
    <w:p w14:paraId="7D2061AE">
      <w:pPr>
        <w:pStyle w:val="2"/>
        <w:ind w:left="0" w:leftChars="0" w:right="0" w:rightChars="0" w:firstLine="0" w:firstLineChars="0"/>
        <w:jc w:val="center"/>
        <w:rPr>
          <w:rFonts w:hint="default" w:ascii="黑体" w:hAnsi="黑体" w:eastAsia="黑体" w:cs="仿宋_GB2312"/>
          <w:bCs/>
          <w:color w:val="auto"/>
          <w:sz w:val="32"/>
          <w:szCs w:val="32"/>
          <w:lang w:val="en-US" w:eastAsia="zh-CN"/>
        </w:rPr>
      </w:pPr>
      <w:r>
        <w:rPr>
          <w:rFonts w:hint="default" w:ascii="黑体" w:hAnsi="黑体" w:eastAsia="黑体" w:cs="仿宋_GB2312"/>
          <w:bCs/>
          <w:color w:val="auto"/>
          <w:sz w:val="32"/>
          <w:szCs w:val="32"/>
          <w:lang w:val="en-US" w:eastAsia="zh-CN"/>
        </w:rPr>
        <w:t xml:space="preserve">第六章 </w:t>
      </w:r>
      <w:r>
        <w:rPr>
          <w:rFonts w:hint="eastAsia" w:ascii="黑体" w:hAnsi="黑体" w:eastAsia="黑体" w:cs="仿宋_GB2312"/>
          <w:bCs/>
          <w:color w:val="auto"/>
          <w:sz w:val="32"/>
          <w:szCs w:val="32"/>
          <w:lang w:val="en-US" w:eastAsia="zh-CN"/>
        </w:rPr>
        <w:t xml:space="preserve">  </w:t>
      </w:r>
      <w:r>
        <w:rPr>
          <w:rFonts w:hint="default" w:ascii="黑体" w:hAnsi="黑体" w:eastAsia="黑体" w:cs="仿宋_GB2312"/>
          <w:bCs/>
          <w:color w:val="auto"/>
          <w:sz w:val="32"/>
          <w:szCs w:val="32"/>
          <w:lang w:val="en-US" w:eastAsia="zh-CN"/>
        </w:rPr>
        <w:t>附则</w:t>
      </w:r>
    </w:p>
    <w:p w14:paraId="79082EB6">
      <w:pPr>
        <w:pStyle w:val="2"/>
        <w:rPr>
          <w:rFonts w:hint="default"/>
          <w:lang w:val="en-US" w:eastAsia="zh-CN"/>
        </w:rPr>
      </w:pPr>
      <w:r>
        <w:rPr>
          <w:rFonts w:hint="eastAsia" w:ascii="楷体" w:hAnsi="楷体" w:eastAsia="楷体" w:cs="楷体"/>
          <w:b/>
          <w:bCs/>
          <w:lang w:val="en-US" w:eastAsia="zh-CN"/>
        </w:rPr>
        <w:t>第十五条</w:t>
      </w:r>
      <w:r>
        <w:rPr>
          <w:rFonts w:hint="eastAsia"/>
          <w:lang w:val="en-US" w:eastAsia="zh-CN"/>
        </w:rPr>
        <w:t xml:space="preserve">  </w:t>
      </w:r>
      <w:r>
        <w:rPr>
          <w:rFonts w:hint="default"/>
          <w:lang w:val="en-US" w:eastAsia="zh-CN"/>
        </w:rPr>
        <w:t>本办法如与国家、上海市出台的政策存在差异，按国家、上海市有关政策规定执行。</w:t>
      </w:r>
    </w:p>
    <w:p w14:paraId="52C4FACD">
      <w:pPr>
        <w:pStyle w:val="2"/>
        <w:rPr>
          <w:rFonts w:hint="default"/>
          <w:lang w:val="en-US" w:eastAsia="zh-CN"/>
        </w:rPr>
      </w:pPr>
      <w:r>
        <w:rPr>
          <w:rFonts w:hint="eastAsia" w:ascii="楷体" w:hAnsi="楷体" w:eastAsia="楷体" w:cs="楷体"/>
          <w:b/>
          <w:bCs/>
          <w:lang w:val="en-US" w:eastAsia="zh-CN"/>
        </w:rPr>
        <w:t>第十六条</w:t>
      </w:r>
      <w:r>
        <w:rPr>
          <w:rFonts w:hint="eastAsia"/>
          <w:lang w:val="en-US" w:eastAsia="zh-CN"/>
        </w:rPr>
        <w:t xml:space="preserve">  </w:t>
      </w:r>
      <w:r>
        <w:rPr>
          <w:rFonts w:hint="default"/>
          <w:lang w:val="en-US" w:eastAsia="zh-CN"/>
        </w:rPr>
        <w:t>本办法由区科委负责解释。</w:t>
      </w:r>
    </w:p>
    <w:p w14:paraId="284A3522">
      <w:pPr>
        <w:pStyle w:val="2"/>
        <w:rPr>
          <w:rFonts w:hint="default"/>
          <w:lang w:val="en-US" w:eastAsia="zh-CN"/>
        </w:rPr>
      </w:pPr>
      <w:r>
        <w:rPr>
          <w:rFonts w:hint="eastAsia" w:ascii="楷体" w:hAnsi="楷体" w:eastAsia="楷体" w:cs="楷体"/>
          <w:b/>
          <w:bCs/>
          <w:lang w:val="en-US" w:eastAsia="zh-CN"/>
        </w:rPr>
        <w:t>第十七条</w:t>
      </w:r>
      <w:r>
        <w:rPr>
          <w:rFonts w:hint="eastAsia"/>
          <w:lang w:val="en-US" w:eastAsia="zh-CN"/>
        </w:rPr>
        <w:t xml:space="preserve">  </w:t>
      </w:r>
      <w:r>
        <w:rPr>
          <w:rFonts w:hint="default"/>
          <w:lang w:val="en-US" w:eastAsia="zh-CN"/>
        </w:rPr>
        <w:t>本办法自</w:t>
      </w:r>
      <w:r>
        <w:rPr>
          <w:rFonts w:hint="eastAsia"/>
          <w:lang w:val="en-US" w:eastAsia="zh-CN"/>
        </w:rPr>
        <w:t>2026年*月*日</w:t>
      </w:r>
      <w:r>
        <w:rPr>
          <w:rFonts w:hint="default"/>
          <w:lang w:val="en-US" w:eastAsia="zh-CN"/>
        </w:rPr>
        <w:t>起</w:t>
      </w:r>
      <w:r>
        <w:rPr>
          <w:rFonts w:hint="eastAsia"/>
          <w:lang w:val="en-US" w:eastAsia="zh-CN"/>
        </w:rPr>
        <w:t>施行，有效期</w:t>
      </w:r>
      <w:r>
        <w:rPr>
          <w:rFonts w:hint="default"/>
          <w:lang w:val="en-US" w:eastAsia="zh-CN"/>
        </w:rPr>
        <w:t>至20</w:t>
      </w:r>
      <w:r>
        <w:rPr>
          <w:rFonts w:hint="eastAsia"/>
          <w:lang w:val="en-US" w:eastAsia="zh-CN"/>
        </w:rPr>
        <w:t>**</w:t>
      </w:r>
      <w:r>
        <w:rPr>
          <w:rFonts w:hint="default"/>
          <w:lang w:val="en-US" w:eastAsia="zh-CN"/>
        </w:rPr>
        <w:t>年</w:t>
      </w:r>
      <w:r>
        <w:rPr>
          <w:rFonts w:hint="eastAsia"/>
          <w:lang w:val="en-US" w:eastAsia="zh-CN"/>
        </w:rPr>
        <w:t>*</w:t>
      </w:r>
      <w:r>
        <w:rPr>
          <w:rFonts w:hint="default"/>
          <w:lang w:val="en-US" w:eastAsia="zh-CN"/>
        </w:rPr>
        <w:t>月</w:t>
      </w:r>
      <w:r>
        <w:rPr>
          <w:rFonts w:hint="eastAsia"/>
          <w:lang w:val="en-US" w:eastAsia="zh-CN"/>
        </w:rPr>
        <w:t>*</w:t>
      </w:r>
      <w:r>
        <w:rPr>
          <w:rFonts w:hint="default"/>
          <w:lang w:val="en-US" w:eastAsia="zh-CN"/>
        </w:rPr>
        <w:t>日。</w:t>
      </w:r>
      <w:bookmarkStart w:id="0" w:name="_GoBack"/>
      <w:bookmarkEnd w:id="0"/>
    </w:p>
    <w:sectPr>
      <w:footerReference r:id="rId3" w:type="default"/>
      <w:pgSz w:w="11906" w:h="16838"/>
      <w:pgMar w:top="1417" w:right="1417" w:bottom="1417" w:left="141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26AE1">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C0E714">
                          <w:pPr>
                            <w:pStyle w:val="7"/>
                            <w:ind w:left="0" w:leftChars="0" w:right="0" w:rightChars="0" w:firstLine="0" w:firstLineChars="0"/>
                            <w:jc w:val="center"/>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5C0E714">
                    <w:pPr>
                      <w:pStyle w:val="7"/>
                      <w:ind w:left="0" w:leftChars="0" w:right="0" w:rightChars="0" w:firstLine="0" w:firstLineChars="0"/>
                      <w:jc w:val="center"/>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CE6F82B2"/>
    <w:rsid w:val="2799C464"/>
    <w:rsid w:val="36EF3856"/>
    <w:rsid w:val="37F9A338"/>
    <w:rsid w:val="3F794657"/>
    <w:rsid w:val="4BFF034C"/>
    <w:rsid w:val="5BB91B1C"/>
    <w:rsid w:val="5DD997FF"/>
    <w:rsid w:val="5DDFE7D4"/>
    <w:rsid w:val="5EFB6BDB"/>
    <w:rsid w:val="6BB697D4"/>
    <w:rsid w:val="6CEF5B8C"/>
    <w:rsid w:val="75EE2ABA"/>
    <w:rsid w:val="76BBDEBD"/>
    <w:rsid w:val="7A7C8732"/>
    <w:rsid w:val="7AD97D93"/>
    <w:rsid w:val="7B8EC4CE"/>
    <w:rsid w:val="7CBCAFB3"/>
    <w:rsid w:val="7E7F7981"/>
    <w:rsid w:val="7FFB38B2"/>
    <w:rsid w:val="9A86AD1E"/>
    <w:rsid w:val="AF6F1DAC"/>
    <w:rsid w:val="BAF99881"/>
    <w:rsid w:val="CE6F82B2"/>
    <w:rsid w:val="D9B839AA"/>
    <w:rsid w:val="DEEDBBC6"/>
    <w:rsid w:val="E77E424B"/>
    <w:rsid w:val="E7AF47FA"/>
    <w:rsid w:val="EA2B53E0"/>
    <w:rsid w:val="EAFF5334"/>
    <w:rsid w:val="ED7250F7"/>
    <w:rsid w:val="EFDF9CC9"/>
    <w:rsid w:val="F9DF2B49"/>
    <w:rsid w:val="FDC6EF1C"/>
    <w:rsid w:val="FF3F8986"/>
    <w:rsid w:val="FFFFC9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32"/>
      <w:lang w:val="en-US" w:eastAsia="zh-CN" w:bidi="ar-SA"/>
    </w:rPr>
  </w:style>
  <w:style w:type="paragraph" w:styleId="3">
    <w:name w:val="heading 1"/>
    <w:basedOn w:val="1"/>
    <w:next w:val="1"/>
    <w:qFormat/>
    <w:uiPriority w:val="0"/>
    <w:pPr>
      <w:keepNext/>
      <w:keepLines/>
      <w:spacing w:beforeLines="0" w:beforeAutospacing="0" w:after="0" w:afterLines="0" w:afterAutospacing="0" w:line="560" w:lineRule="exact"/>
      <w:ind w:firstLine="0" w:firstLineChars="0"/>
      <w:jc w:val="center"/>
      <w:outlineLvl w:val="0"/>
    </w:pPr>
    <w:rPr>
      <w:rFonts w:ascii="华文中宋" w:hAnsi="华文中宋" w:eastAsia="华文中宋" w:cs="Times New Roman"/>
      <w:kern w:val="44"/>
      <w:sz w:val="44"/>
    </w:rPr>
  </w:style>
  <w:style w:type="paragraph" w:styleId="4">
    <w:name w:val="heading 2"/>
    <w:basedOn w:val="1"/>
    <w:next w:val="1"/>
    <w:unhideWhenUsed/>
    <w:qFormat/>
    <w:uiPriority w:val="0"/>
    <w:pPr>
      <w:keepNext/>
      <w:keepLines/>
      <w:spacing w:beforeLines="0" w:beforeAutospacing="0" w:after="0" w:afterLines="0" w:afterAutospacing="0" w:line="560" w:lineRule="exact"/>
      <w:ind w:firstLine="720" w:firstLineChars="200"/>
      <w:jc w:val="both"/>
      <w:outlineLvl w:val="1"/>
    </w:pPr>
    <w:rPr>
      <w:rFonts w:ascii="黑体" w:hAnsi="黑体" w:eastAsia="黑体" w:cs="Times New Roman"/>
      <w:kern w:val="2"/>
      <w:sz w:val="32"/>
    </w:rPr>
  </w:style>
  <w:style w:type="paragraph" w:styleId="5">
    <w:name w:val="heading 3"/>
    <w:basedOn w:val="1"/>
    <w:next w:val="1"/>
    <w:semiHidden/>
    <w:unhideWhenUsed/>
    <w:qFormat/>
    <w:uiPriority w:val="0"/>
    <w:pPr>
      <w:spacing w:before="0" w:beforeAutospacing="0" w:after="0" w:afterAutospacing="0" w:line="560" w:lineRule="exact"/>
      <w:ind w:firstLine="880" w:firstLineChars="200"/>
      <w:jc w:val="both"/>
      <w:outlineLvl w:val="2"/>
    </w:pPr>
    <w:rPr>
      <w:rFonts w:hint="eastAsia" w:ascii="宋体" w:hAnsi="宋体" w:eastAsia="楷体" w:cs="宋体"/>
      <w:b/>
      <w:bCs/>
      <w:kern w:val="2"/>
      <w:sz w:val="32"/>
      <w:szCs w:val="27"/>
      <w:lang w:bidi="ar"/>
    </w:rPr>
  </w:style>
  <w:style w:type="paragraph" w:styleId="6">
    <w:name w:val="heading 4"/>
    <w:basedOn w:val="1"/>
    <w:next w:val="1"/>
    <w:unhideWhenUsed/>
    <w:qFormat/>
    <w:uiPriority w:val="0"/>
    <w:pPr>
      <w:spacing w:before="0" w:beforeAutospacing="0" w:after="0" w:afterAutospacing="0" w:line="560" w:lineRule="exact"/>
      <w:ind w:firstLine="880" w:firstLineChars="200"/>
      <w:jc w:val="both"/>
      <w:outlineLvl w:val="3"/>
    </w:pPr>
    <w:rPr>
      <w:rFonts w:hint="eastAsia" w:ascii="宋体" w:hAnsi="宋体" w:eastAsia="仿宋_GB2312" w:cs="宋体"/>
      <w:b/>
      <w:bCs/>
      <w:kern w:val="2"/>
      <w:sz w:val="32"/>
      <w:szCs w:val="24"/>
      <w:lang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Lines="0" w:afterAutospacing="0" w:line="560" w:lineRule="exact"/>
      <w:ind w:firstLine="880" w:firstLineChars="200"/>
    </w:pPr>
    <w:rPr>
      <w:rFonts w:ascii="Times New Roman" w:hAnsi="Times New Roman" w:eastAsia="仿宋_GB2312"/>
      <w:sz w:val="32"/>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11">
    <w:name w:val="Strong"/>
    <w:basedOn w:val="10"/>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4</TotalTime>
  <ScaleCrop>false</ScaleCrop>
  <LinksUpToDate>false</LinksUpToDate>
  <CharactersWithSpaces>0</CharactersWithSpaces>
  <Application>WPS Office_12.1.2.22575_F1E327BC-269C-435d-A152-05C5408002CA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2025-11-01T22:36:00Z</dcterms:created>
  <dc:creator>user</dc:creator>
  <cp:lastModifiedBy>user</cp:lastModifiedBy>
  <cp:lastPrinted>2026-01-05T05:46:00Z</cp:lastPrinted>
  <dcterms:modified xsi:type="dcterms:W3CDTF">2026-01-05T13:56:26Z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2052-12.1.2.22575</vt:lpwstr>
  </property>
  <property fmtid="{D5CDD505-2E9C-101B-9397-08002B2CF9AE}" pid="3" name="ICV">
    <vt:lpwstr>A67AC173D8BC417B00335A69AFAFF185_43</vt:lpwstr>
  </property>
</Properties>
</file>