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96E51">
      <w:pPr>
        <w:pStyle w:val="12"/>
        <w:ind w:firstLine="616"/>
        <w:rPr>
          <w:color w:val="000000" w:themeColor="text1"/>
          <w14:textFill>
            <w14:solidFill>
              <w14:schemeClr w14:val="tx1"/>
            </w14:solidFill>
          </w14:textFill>
        </w:rPr>
      </w:pPr>
    </w:p>
    <w:p w14:paraId="2FA28B46">
      <w:pPr>
        <w:pStyle w:val="16"/>
        <w:rPr>
          <w:color w:val="000000" w:themeColor="text1"/>
          <w14:textFill>
            <w14:solidFill>
              <w14:schemeClr w14:val="tx1"/>
            </w14:solidFill>
          </w14:textFill>
        </w:rPr>
      </w:pPr>
      <w:r>
        <w:rPr>
          <w:color w:val="000000" w:themeColor="text1"/>
          <w14:textFill>
            <w14:solidFill>
              <w14:schemeClr w14:val="tx1"/>
            </w14:solidFill>
          </w14:textFill>
        </w:rPr>
        <w:t>徐汇区区域空间生态环境评价成果应用</w:t>
      </w:r>
    </w:p>
    <w:p w14:paraId="0156B5E3">
      <w:pPr>
        <w:pStyle w:val="16"/>
        <w:rPr>
          <w:color w:val="000000" w:themeColor="text1"/>
          <w14:textFill>
            <w14:solidFill>
              <w14:schemeClr w14:val="tx1"/>
            </w14:solidFill>
          </w14:textFill>
        </w:rPr>
      </w:pPr>
      <w:r>
        <w:rPr>
          <w:color w:val="000000" w:themeColor="text1"/>
          <w14:textFill>
            <w14:solidFill>
              <w14:schemeClr w14:val="tx1"/>
            </w14:solidFill>
          </w14:textFill>
        </w:rPr>
        <w:t>实施方案</w:t>
      </w:r>
    </w:p>
    <w:p w14:paraId="4FDA3D56">
      <w:pPr>
        <w:pStyle w:val="12"/>
        <w:spacing w:line="300" w:lineRule="exact"/>
        <w:ind w:firstLine="616"/>
        <w:rPr>
          <w:color w:val="000000" w:themeColor="text1"/>
          <w14:textFill>
            <w14:solidFill>
              <w14:schemeClr w14:val="tx1"/>
            </w14:solidFill>
          </w14:textFill>
        </w:rPr>
      </w:pPr>
    </w:p>
    <w:p w14:paraId="0363C967">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根据《上海市委办公厅、市政府办公厅关于加强生态环境分区管控的实施意见》《上海市生态环境局关于开展区域空间生态环境评价工作的通知》（沪环评〔2025〕142号）《上海市生态环境局关于徐汇区区域空间生态环境评价成果审核意见的复函》（沪环函〔2026〕6</w:t>
      </w:r>
      <w:r>
        <w:rPr>
          <w:rFonts w:ascii="仿宋_GB2312" w:hAnsi="仿宋_GB2312" w:eastAsia="仿宋_GB2312" w:cs="仿宋_GB2312"/>
          <w:color w:val="000000" w:themeColor="text1"/>
          <w14:textFill>
            <w14:solidFill>
              <w14:schemeClr w14:val="tx1"/>
            </w14:solidFill>
          </w14:textFill>
        </w:rPr>
        <w:t>5</w:t>
      </w:r>
      <w:r>
        <w:rPr>
          <w:rFonts w:hint="eastAsia" w:ascii="仿宋_GB2312" w:hAnsi="仿宋_GB2312" w:eastAsia="仿宋_GB2312" w:cs="仿宋_GB2312"/>
          <w:color w:val="000000" w:themeColor="text1"/>
          <w14:textFill>
            <w14:solidFill>
              <w14:schemeClr w14:val="tx1"/>
            </w14:solidFill>
          </w14:textFill>
        </w:rPr>
        <w:t>号）《徐汇区区域空间生态环境评价单元管理清单》（以下简称“《单元管理清单》”）等文件要求，为落实徐汇区区域空间生态环境评价成果应用，推动分区域差异化精准管控，强化生态环境源头预防，优化环评和排污许可，强化事中事后监管，科学指导各类开发保护建设活动，以高水平生态环境保护助力徐汇区高质量发展。结合我区实际，制定本方案。</w:t>
      </w:r>
    </w:p>
    <w:p w14:paraId="75B0CC4F">
      <w:pPr>
        <w:pStyle w:val="2"/>
        <w:ind w:firstLine="64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color w:val="000000" w:themeColor="text1"/>
          <w14:textFill>
            <w14:solidFill>
              <w14:schemeClr w14:val="tx1"/>
            </w14:solidFill>
          </w14:textFill>
        </w:rPr>
        <w:t>工作要求</w:t>
      </w:r>
    </w:p>
    <w:p w14:paraId="617E7EE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（一）推动成果在规划编制中的应用</w:t>
      </w:r>
    </w:p>
    <w:p w14:paraId="037E99A7">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充分发挥绿色低碳发展在徐汇区各类规划编制中的引领作用。区规划资源局、区发展改革委、区新型工业化办、区商务委、区科委、区建管委、区绿化市容局等有关部门编制国土空间、产业发展、交通和市政基础设施建设、城市更新等相关规划时，在规划布局、结构、规模、污染防控等方面应符合《单元管理清单》要求。</w:t>
      </w:r>
    </w:p>
    <w:p w14:paraId="59D8DA00">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（二）强化成果在项目准入中的应用</w:t>
      </w:r>
    </w:p>
    <w:p w14:paraId="3356242E">
      <w:pPr>
        <w:pStyle w:val="12"/>
        <w:ind w:firstLine="616"/>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为推动区域空间生态环境评价成果在项目准入各环节的有效落地，区新型工业化办、区商务委、区科委等有关部门、各街（镇）以及相关区属国有企业在项目招商环节，将《单元管理清单》作为重要依据，对不符合要求的建设项目不予准入；区规划资源局在土地出让、规划许可环节，区建管委在建筑施工监管环节，将《单元管理清单》要求予以落实；区市场监管局及各街（镇）市场监管所在办理营业执照环节，提示餐饮选址负面清单，并将选址不符合要求的餐饮企业信息告知区生态环境局。</w:t>
      </w:r>
    </w:p>
    <w:p w14:paraId="50C1023A">
      <w:pPr>
        <w:pStyle w:val="12"/>
        <w:ind w:firstLine="616"/>
        <w:rPr>
          <w:rFonts w:ascii="仿宋_GB2312" w:hAnsi="仿宋_GB2312" w:eastAsia="仿宋_GB2312" w:cs="仿宋_GB2312"/>
          <w:color w:val="000000" w:themeColor="text1"/>
          <w14:textFill>
            <w14:solidFill>
              <w14:schemeClr w14:val="tx1"/>
            </w14:solidFill>
          </w14:textFill>
        </w:rPr>
      </w:pPr>
      <w:bookmarkStart w:id="0" w:name="_GoBack"/>
      <w:bookmarkEnd w:id="0"/>
      <w:r>
        <w:rPr>
          <w:rFonts w:hint="eastAsia" w:ascii="仿宋_GB2312" w:hAnsi="仿宋_GB2312" w:eastAsia="仿宋_GB2312" w:cs="仿宋_GB2312"/>
          <w:color w:val="000000" w:themeColor="text1"/>
          <w14:textFill>
            <w14:solidFill>
              <w14:schemeClr w14:val="tx1"/>
            </w14:solidFill>
          </w14:textFill>
        </w:rPr>
        <w:t>（三）实行分级分类跨前服务</w:t>
      </w:r>
    </w:p>
    <w:p w14:paraId="700EE1A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通过数字化手段实现建设项目环境准入的智能研判与高效服务。整合区域空间生态环境评价成果，依托“一网通办”构建“徐汇区区域空间生态环境评价建设项目生态环境准入研判服务平台”（以下简称“研判服务平台”）。涉及污染物排放的建设项目的建设主体，可按照《徐汇区区域空间生态环境评价建设项目生态环境准入研判服务指南》（以下简称“《服务指南》”，详见附件1），登录研判服务平台在线填写建设项目基本信息，获得初步分析结果，结合线下服务窗口和咨询热线，跨前为建设单位提供项目选址、环保手续办理和环保措施要求等方面的专业指导。</w:t>
      </w:r>
    </w:p>
    <w:p w14:paraId="1BE23000">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（四）简化环评审批手续</w:t>
      </w:r>
    </w:p>
    <w:p w14:paraId="61D124C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符合《单元管理清单》要求且属于《〈建设项目生态环境影响评价分类管理名录〉上海市实施细化规定（2026年版）》（沪环规〔2026〕×号）中特定区域简化的建设项目，原要求编制报告书的可简化为编制报告表，原要求编制报告表和填报登记表的，可免于办理环评手续。</w:t>
      </w:r>
    </w:p>
    <w:p w14:paraId="1848021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（五）强化排污许可承接补位</w:t>
      </w:r>
    </w:p>
    <w:p w14:paraId="049B06F0">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豁免环评审批的建设项目，由排污许可进行精准补位管理。纳入排污许可重点管理和简化管理的，建设单位应当在开工建设前，根据《上海市排污许可管理实施细则》的流程和材料要求，申领排污许可证，审批部门在排污许可证核发过程中严格把关，确保建设项目符合《单元管理清单》要求。</w:t>
      </w:r>
    </w:p>
    <w:p w14:paraId="7784701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建设单位在取得排污许可证后，应按照排污许可证载明的内容开展建设，落实各项污染防治措施，并确保环境保护设施与主体工程同时设计、同时施工、同时投产使用。</w:t>
      </w:r>
    </w:p>
    <w:p w14:paraId="276FB62E">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属于排污许可登记管理的建设项目，按上海市相关要求执行。</w:t>
      </w:r>
    </w:p>
    <w:p w14:paraId="2B266261">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（六）免于办理环境保护设施竣工验收</w:t>
      </w:r>
    </w:p>
    <w:p w14:paraId="673935F9">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豁免环评审批的建设项目，投入运行后可免于开展建设项目环境保护竣工验收监测、验收报告编制及相关信息公示。排污许可证持证单位应全过程按照排污许可证规定开展自行监测、填报执行报告和信息公开。排污登记单位应按照相关行业自行监测技术指南开展自行监测。</w:t>
      </w:r>
    </w:p>
    <w:p w14:paraId="3A9CC158">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（七）加强固定污染源事中事后监管</w:t>
      </w:r>
    </w:p>
    <w:p w14:paraId="03704589">
      <w:pPr>
        <w:pStyle w:val="12"/>
        <w:ind w:firstLine="616"/>
        <w:rPr>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豁免环评审批的建设项目，生态环境执法、监测、监管部门协同加强监管。申领排污许可证的建设项目，加强排污许可证中载明的环保措施落实情况监管和执行报告审核，重点检查项目建设内容与排污许可证的一致性、环保设施“三同时”、按证排污、执行报告、自行监测等落实情况。实施排污登记的建设项目，以排污登记表作为建设单位落实环境管理要求的守法文书和监管依据，将排污登记表纳入年度排污登记质量核查。餐饮、动物医院等未纳入排污许可管理的项目，按照行业环境管理要求加强日常监管，确保污染物达标排放。</w:t>
      </w:r>
    </w:p>
    <w:p w14:paraId="2C8FF7A2">
      <w:pPr>
        <w:pStyle w:val="2"/>
        <w:ind w:firstLine="64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color w:val="000000" w:themeColor="text1"/>
          <w14:textFill>
            <w14:solidFill>
              <w14:schemeClr w14:val="tx1"/>
            </w14:solidFill>
          </w14:textFill>
        </w:rPr>
        <w:t>保障机制</w:t>
      </w:r>
    </w:p>
    <w:p w14:paraId="0FA1A504">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（一）明确职责分工</w:t>
      </w:r>
    </w:p>
    <w:p w14:paraId="0FA46044">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区生态环境局负责牵头组织实施区域评价成果编制、调整更新、实施应用、宣传培训、监督管理。</w:t>
      </w:r>
    </w:p>
    <w:p w14:paraId="6B2A05AC">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区规划资源局、区发展改革委、区新型工业化办、区商务委、区科委、区建管委、区市场监管局、区绿化市容局等有关部门、各街（镇）以及相关区属国有企业配合做好区域评价成果调整更新阶段的信息共享及成果发布后的实施应用。</w:t>
      </w:r>
    </w:p>
    <w:p w14:paraId="341548D5">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各街（镇）及相关区属国有企业应落实属地化责任，在建设项目招商阶段落实“单元管理清单”要求，督促辖区内（或管辖范围内）建设单位及时登录研判服务平台填写申报，建立辖区内企业动态跟踪机制，并配合做好宣传指导工作。</w:t>
      </w:r>
    </w:p>
    <w:p w14:paraId="7306E956">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（二）加强跟踪评估</w:t>
      </w:r>
    </w:p>
    <w:p w14:paraId="52E7FE6B">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在评价成果实施运用过程中，按上海市相关规定，定期开展跟踪评估，及时评价成果应用成效、发现不足和研究优化改进对策。</w:t>
      </w:r>
    </w:p>
    <w:p w14:paraId="57C98C8C">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（三）实施动态调整</w:t>
      </w:r>
    </w:p>
    <w:p w14:paraId="3726DD5F">
      <w:pPr>
        <w:pStyle w:val="12"/>
        <w:ind w:firstLine="616"/>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每五年根据市级生态环境分区管控方案开展定期调整，期间因重大战略、国土空间规划等发生变化的，可按需开展动态更新，按程序报市生态环境局备案后发布。</w:t>
      </w:r>
    </w:p>
    <w:p w14:paraId="4275367C">
      <w:pPr>
        <w:pStyle w:val="12"/>
        <w:ind w:firstLine="616"/>
        <w:rPr>
          <w:rFonts w:ascii="仿宋_GB2312" w:hAnsi="仿宋_GB2312" w:eastAsia="仿宋_GB2312" w:cs="仿宋_GB2312"/>
          <w:color w:val="000000" w:themeColor="text1"/>
          <w14:textFill>
            <w14:solidFill>
              <w14:schemeClr w14:val="tx1"/>
            </w14:solidFill>
          </w14:textFill>
        </w:rPr>
      </w:pPr>
    </w:p>
    <w:p w14:paraId="48CA172C">
      <w:pPr>
        <w:pStyle w:val="12"/>
        <w:ind w:firstLine="616"/>
        <w:rPr>
          <w:rFonts w:ascii="仿宋_GB2312" w:hAnsi="仿宋_GB2312" w:eastAsia="仿宋_GB2312" w:cs="仿宋_GB2312"/>
          <w:color w:val="000000" w:themeColor="text1"/>
          <w14:textFill>
            <w14:solidFill>
              <w14:schemeClr w14:val="tx1"/>
            </w14:solidFill>
          </w14:textFill>
        </w:rPr>
      </w:pPr>
    </w:p>
    <w:p w14:paraId="0FAAE49C">
      <w:pPr>
        <w:pStyle w:val="12"/>
        <w:ind w:firstLine="2156" w:firstLineChars="700"/>
        <w:jc w:val="righ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徐汇区人民政府</w:t>
      </w:r>
    </w:p>
    <w:p w14:paraId="5B0F6233">
      <w:pPr>
        <w:pStyle w:val="12"/>
        <w:ind w:firstLine="2156" w:firstLineChars="700"/>
        <w:jc w:val="righ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2026年×月×日</w:t>
      </w:r>
    </w:p>
    <w:sectPr>
      <w:pgSz w:w="11906" w:h="16838"/>
      <w:pgMar w:top="2098" w:right="1474" w:bottom="1984" w:left="1587" w:header="851" w:footer="1417" w:gutter="0"/>
      <w:pgNumType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楷体_GB2312"/>
    <w:panose1 w:val="00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1" w:fontKey="{EC553EDB-1FDC-4021-8A6C-7D7229E48BF4}"/>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evenAndOddHeaders w:val="1"/>
  <w:drawingGridHorizontalSpacing w:val="158"/>
  <w:drawingGridVerticalSpacing w:val="29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37F"/>
    <w:rsid w:val="000057DC"/>
    <w:rsid w:val="00010911"/>
    <w:rsid w:val="000337EC"/>
    <w:rsid w:val="000466EF"/>
    <w:rsid w:val="000500BF"/>
    <w:rsid w:val="00065EB9"/>
    <w:rsid w:val="00077E21"/>
    <w:rsid w:val="000C3FC4"/>
    <w:rsid w:val="000D2FE8"/>
    <w:rsid w:val="00144EC2"/>
    <w:rsid w:val="001716D9"/>
    <w:rsid w:val="00173A95"/>
    <w:rsid w:val="001C5059"/>
    <w:rsid w:val="00214368"/>
    <w:rsid w:val="00230C3F"/>
    <w:rsid w:val="00282645"/>
    <w:rsid w:val="002A66B8"/>
    <w:rsid w:val="003005AA"/>
    <w:rsid w:val="00301186"/>
    <w:rsid w:val="003041C1"/>
    <w:rsid w:val="0033609F"/>
    <w:rsid w:val="00336C8E"/>
    <w:rsid w:val="003659AF"/>
    <w:rsid w:val="00370934"/>
    <w:rsid w:val="0037257D"/>
    <w:rsid w:val="003C28DA"/>
    <w:rsid w:val="003D75C8"/>
    <w:rsid w:val="004261BA"/>
    <w:rsid w:val="00437474"/>
    <w:rsid w:val="00454D07"/>
    <w:rsid w:val="004677CE"/>
    <w:rsid w:val="00482E7D"/>
    <w:rsid w:val="00485A0B"/>
    <w:rsid w:val="004A76A0"/>
    <w:rsid w:val="005205FA"/>
    <w:rsid w:val="00521007"/>
    <w:rsid w:val="00532893"/>
    <w:rsid w:val="00547E4E"/>
    <w:rsid w:val="00555DB9"/>
    <w:rsid w:val="00561376"/>
    <w:rsid w:val="005D74D6"/>
    <w:rsid w:val="0060007F"/>
    <w:rsid w:val="00610602"/>
    <w:rsid w:val="006142A2"/>
    <w:rsid w:val="00642FA2"/>
    <w:rsid w:val="00643E84"/>
    <w:rsid w:val="00653503"/>
    <w:rsid w:val="006570C4"/>
    <w:rsid w:val="006814A4"/>
    <w:rsid w:val="00691FCE"/>
    <w:rsid w:val="00695A7A"/>
    <w:rsid w:val="00696A2A"/>
    <w:rsid w:val="0072185D"/>
    <w:rsid w:val="0076752A"/>
    <w:rsid w:val="007A0452"/>
    <w:rsid w:val="007A27F8"/>
    <w:rsid w:val="007B0EDF"/>
    <w:rsid w:val="007E5574"/>
    <w:rsid w:val="007F39DC"/>
    <w:rsid w:val="0081147C"/>
    <w:rsid w:val="00815FC3"/>
    <w:rsid w:val="00884BC8"/>
    <w:rsid w:val="00893A8A"/>
    <w:rsid w:val="008C124C"/>
    <w:rsid w:val="008E40B4"/>
    <w:rsid w:val="008F79EF"/>
    <w:rsid w:val="00957304"/>
    <w:rsid w:val="009767ED"/>
    <w:rsid w:val="00994A31"/>
    <w:rsid w:val="009F1E18"/>
    <w:rsid w:val="00A00412"/>
    <w:rsid w:val="00A16D22"/>
    <w:rsid w:val="00A339AA"/>
    <w:rsid w:val="00A41E47"/>
    <w:rsid w:val="00A62E59"/>
    <w:rsid w:val="00B246B8"/>
    <w:rsid w:val="00B7237F"/>
    <w:rsid w:val="00B86933"/>
    <w:rsid w:val="00BC661B"/>
    <w:rsid w:val="00C0107C"/>
    <w:rsid w:val="00C67824"/>
    <w:rsid w:val="00C87B05"/>
    <w:rsid w:val="00C9695B"/>
    <w:rsid w:val="00CB5ECF"/>
    <w:rsid w:val="00CE24CC"/>
    <w:rsid w:val="00D6185D"/>
    <w:rsid w:val="00D75AEF"/>
    <w:rsid w:val="00DC2FFF"/>
    <w:rsid w:val="00DD3283"/>
    <w:rsid w:val="00DF0E11"/>
    <w:rsid w:val="00E17459"/>
    <w:rsid w:val="00E3552D"/>
    <w:rsid w:val="00E44996"/>
    <w:rsid w:val="00E806A9"/>
    <w:rsid w:val="00E86FB9"/>
    <w:rsid w:val="00E93105"/>
    <w:rsid w:val="00E97B75"/>
    <w:rsid w:val="00EB2BDA"/>
    <w:rsid w:val="00F01434"/>
    <w:rsid w:val="00F221F8"/>
    <w:rsid w:val="00F563F2"/>
    <w:rsid w:val="00FE3D9E"/>
    <w:rsid w:val="00FE7AF0"/>
    <w:rsid w:val="01100F54"/>
    <w:rsid w:val="049C4DA9"/>
    <w:rsid w:val="09680984"/>
    <w:rsid w:val="0A30074A"/>
    <w:rsid w:val="0E600537"/>
    <w:rsid w:val="141F7404"/>
    <w:rsid w:val="14A32F47"/>
    <w:rsid w:val="1AF72B58"/>
    <w:rsid w:val="1BE11073"/>
    <w:rsid w:val="24E746F5"/>
    <w:rsid w:val="283D1890"/>
    <w:rsid w:val="2DF91867"/>
    <w:rsid w:val="2E070A94"/>
    <w:rsid w:val="2F5E78CC"/>
    <w:rsid w:val="30D5115B"/>
    <w:rsid w:val="3277182B"/>
    <w:rsid w:val="35295483"/>
    <w:rsid w:val="36FE6872"/>
    <w:rsid w:val="3A671830"/>
    <w:rsid w:val="3B1547E0"/>
    <w:rsid w:val="3EEA1E49"/>
    <w:rsid w:val="401036FA"/>
    <w:rsid w:val="40E21683"/>
    <w:rsid w:val="40E51007"/>
    <w:rsid w:val="48D6398B"/>
    <w:rsid w:val="490249F1"/>
    <w:rsid w:val="4CF002C8"/>
    <w:rsid w:val="504D1151"/>
    <w:rsid w:val="5A563FC2"/>
    <w:rsid w:val="5E354627"/>
    <w:rsid w:val="5EE42E3D"/>
    <w:rsid w:val="5F9D47EA"/>
    <w:rsid w:val="5FEE2064"/>
    <w:rsid w:val="62552B71"/>
    <w:rsid w:val="647E281C"/>
    <w:rsid w:val="69F14DC5"/>
    <w:rsid w:val="74C73476"/>
    <w:rsid w:val="76EC2B78"/>
    <w:rsid w:val="7B3E4ABC"/>
    <w:rsid w:val="7BFA4CF4"/>
    <w:rsid w:val="7C442928"/>
    <w:rsid w:val="7EFB6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link w:val="28"/>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30"/>
    <w:unhideWhenUsed/>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lang w:val="en-US" w:eastAsia="zh-CN" w:bidi="ar-SA"/>
    </w:rPr>
  </w:style>
  <w:style w:type="paragraph" w:styleId="4">
    <w:name w:val="heading 3"/>
    <w:next w:val="1"/>
    <w:link w:val="29"/>
    <w:semiHidden/>
    <w:unhideWhenUsed/>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方正仿宋_GB2312" w:cs="方正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方正仿宋_GB2312" w:cs="方正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方正仿宋_GB2312" w:cs="方正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方正仿宋_GB2312" w:cs="方正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方正仿宋_GB2312" w:cs="方正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方正仿宋_GB2312" w:cs="方正仿宋_GB2312"/>
      <w:sz w:val="32"/>
      <w:szCs w:val="32"/>
      <w:lang w:val="en-US" w:eastAsia="zh-CN" w:bidi="ar-SA"/>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37"/>
    <w:qFormat/>
    <w:uiPriority w:val="0"/>
    <w:pPr>
      <w:jc w:val="left"/>
    </w:pPr>
  </w:style>
  <w:style w:type="paragraph" w:styleId="12">
    <w:name w:val="Body Text"/>
    <w:qFormat/>
    <w:uiPriority w:val="0"/>
    <w:pPr>
      <w:spacing w:line="560" w:lineRule="exact"/>
      <w:ind w:firstLine="630" w:firstLineChars="200"/>
      <w:jc w:val="both"/>
    </w:pPr>
    <w:rPr>
      <w:rFonts w:ascii="Times New Roman" w:hAnsi="Times New Roman" w:eastAsia="方正仿宋_GB2312" w:cs="方正仿宋_GB2312"/>
      <w:spacing w:val="-6"/>
      <w:sz w:val="32"/>
      <w:szCs w:val="32"/>
      <w:lang w:val="en-US" w:eastAsia="zh-CN" w:bidi="ar-SA"/>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qFormat/>
    <w:uiPriority w:val="0"/>
    <w:pPr>
      <w:spacing w:line="720" w:lineRule="exact"/>
      <w:jc w:val="center"/>
    </w:pPr>
    <w:rPr>
      <w:rFonts w:ascii="Times New Roman" w:hAnsi="Times New Roman" w:eastAsia="方正仿宋_GB2312" w:cs="方正仿宋_GB2312"/>
      <w:kern w:val="28"/>
      <w:sz w:val="32"/>
      <w:szCs w:val="32"/>
      <w:lang w:val="en-US" w:eastAsia="zh-CN" w:bidi="ar-SA"/>
    </w:rPr>
  </w:style>
  <w:style w:type="paragraph" w:styleId="16">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7">
    <w:name w:val="annotation subject"/>
    <w:basedOn w:val="11"/>
    <w:next w:val="11"/>
    <w:link w:val="38"/>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主送对象"/>
    <w:next w:val="1"/>
    <w:qFormat/>
    <w:uiPriority w:val="0"/>
    <w:pPr>
      <w:spacing w:line="560" w:lineRule="exact"/>
    </w:pPr>
    <w:rPr>
      <w:rFonts w:ascii="Times New Roman" w:hAnsi="Times New Roman" w:eastAsia="方正仿宋_GB2312" w:cs="方正仿宋_GB2312"/>
      <w:sz w:val="32"/>
      <w:szCs w:val="32"/>
      <w:lang w:val="en-US" w:eastAsia="zh-CN" w:bidi="ar-SA"/>
    </w:rPr>
  </w:style>
  <w:style w:type="paragraph" w:customStyle="1" w:styleId="25">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paragraph" w:customStyle="1" w:styleId="26">
    <w:name w:val="图片标题"/>
    <w:next w:val="1"/>
    <w:qFormat/>
    <w:uiPriority w:val="0"/>
    <w:pPr>
      <w:widowControl w:val="0"/>
      <w:overflowPunct w:val="0"/>
      <w:topLinePunct/>
      <w:spacing w:line="560" w:lineRule="exact"/>
      <w:jc w:val="center"/>
    </w:pPr>
    <w:rPr>
      <w:rFonts w:ascii="Times New Roman" w:hAnsi="Times New Roman" w:eastAsia="方正仿宋_GB2312" w:cs="方正仿宋_GB2312"/>
      <w:spacing w:val="-6"/>
      <w:sz w:val="32"/>
      <w:szCs w:val="32"/>
      <w:lang w:val="en-US" w:eastAsia="zh-CN" w:bidi="ar-SA"/>
    </w:rPr>
  </w:style>
  <w:style w:type="paragraph" w:customStyle="1" w:styleId="27">
    <w:name w:val="表格标题"/>
    <w:next w:val="1"/>
    <w:qFormat/>
    <w:uiPriority w:val="0"/>
    <w:pPr>
      <w:overflowPunct w:val="0"/>
      <w:topLinePunct/>
      <w:spacing w:line="560" w:lineRule="exact"/>
      <w:jc w:val="center"/>
    </w:pPr>
    <w:rPr>
      <w:rFonts w:ascii="Times New Roman" w:hAnsi="Times New Roman" w:eastAsia="方正仿宋_GB2312" w:cs="方正仿宋_GB2312"/>
      <w:spacing w:val="-6"/>
      <w:sz w:val="32"/>
      <w:szCs w:val="32"/>
      <w:lang w:val="en-US" w:eastAsia="zh-CN" w:bidi="ar-SA"/>
    </w:rPr>
  </w:style>
  <w:style w:type="character" w:customStyle="1" w:styleId="28">
    <w:name w:val="标题 1 字符"/>
    <w:link w:val="2"/>
    <w:qFormat/>
    <w:uiPriority w:val="0"/>
    <w:rPr>
      <w:rFonts w:ascii="黑体" w:hAnsi="黑体" w:eastAsia="黑体" w:cs="黑体"/>
      <w:kern w:val="44"/>
      <w:sz w:val="32"/>
      <w:szCs w:val="32"/>
    </w:rPr>
  </w:style>
  <w:style w:type="character" w:customStyle="1" w:styleId="29">
    <w:name w:val="标题 3 字符"/>
    <w:link w:val="4"/>
    <w:qFormat/>
    <w:uiPriority w:val="0"/>
    <w:rPr>
      <w:rFonts w:ascii="Times New Roman" w:hAnsi="Times New Roman" w:eastAsia="方正仿宋_GB2312" w:cs="方正仿宋_GB2312"/>
      <w:sz w:val="32"/>
      <w:szCs w:val="32"/>
    </w:rPr>
  </w:style>
  <w:style w:type="character" w:customStyle="1" w:styleId="30">
    <w:name w:val="标题 2 字符"/>
    <w:link w:val="3"/>
    <w:qFormat/>
    <w:uiPriority w:val="0"/>
    <w:rPr>
      <w:rFonts w:ascii="Times New Roman" w:hAnsi="Times New Roman" w:eastAsia="方正楷体_GB2312" w:cs="方正楷体_GB2312"/>
      <w:sz w:val="32"/>
      <w:szCs w:val="32"/>
    </w:rPr>
  </w:style>
  <w:style w:type="character" w:customStyle="1" w:styleId="31">
    <w:name w:val="font31"/>
    <w:basedOn w:val="20"/>
    <w:qFormat/>
    <w:uiPriority w:val="0"/>
    <w:rPr>
      <w:rFonts w:ascii="宋体" w:hAnsi="宋体" w:eastAsia="宋体" w:cs="宋体"/>
      <w:b/>
      <w:bCs/>
      <w:color w:val="000000"/>
      <w:sz w:val="28"/>
      <w:szCs w:val="28"/>
      <w:u w:val="none"/>
    </w:rPr>
  </w:style>
  <w:style w:type="character" w:customStyle="1" w:styleId="32">
    <w:name w:val="font41"/>
    <w:basedOn w:val="20"/>
    <w:qFormat/>
    <w:uiPriority w:val="0"/>
    <w:rPr>
      <w:rFonts w:ascii="宋体" w:hAnsi="宋体" w:eastAsia="宋体" w:cs="宋体"/>
      <w:color w:val="000000"/>
      <w:sz w:val="28"/>
      <w:szCs w:val="28"/>
      <w:u w:val="none"/>
    </w:rPr>
  </w:style>
  <w:style w:type="character" w:customStyle="1" w:styleId="33">
    <w:name w:val="font51"/>
    <w:basedOn w:val="20"/>
    <w:qFormat/>
    <w:uiPriority w:val="0"/>
    <w:rPr>
      <w:rFonts w:ascii="宋体" w:hAnsi="宋体" w:eastAsia="宋体" w:cs="宋体"/>
      <w:color w:val="200010"/>
      <w:sz w:val="28"/>
      <w:szCs w:val="28"/>
      <w:u w:val="none"/>
    </w:rPr>
  </w:style>
  <w:style w:type="character" w:customStyle="1" w:styleId="34">
    <w:name w:val="font11"/>
    <w:basedOn w:val="20"/>
    <w:qFormat/>
    <w:uiPriority w:val="0"/>
    <w:rPr>
      <w:rFonts w:hint="eastAsia" w:ascii="宋体" w:hAnsi="宋体" w:eastAsia="宋体" w:cs="宋体"/>
      <w:color w:val="000000"/>
      <w:sz w:val="21"/>
      <w:szCs w:val="21"/>
      <w:u w:val="none"/>
    </w:rPr>
  </w:style>
  <w:style w:type="character" w:customStyle="1" w:styleId="35">
    <w:name w:val="font21"/>
    <w:basedOn w:val="20"/>
    <w:qFormat/>
    <w:uiPriority w:val="0"/>
    <w:rPr>
      <w:rFonts w:hint="default" w:ascii="Calibri" w:hAnsi="Calibri" w:cs="Calibri"/>
      <w:color w:val="000000"/>
      <w:sz w:val="21"/>
      <w:szCs w:val="21"/>
      <w:u w:val="none"/>
    </w:rPr>
  </w:style>
  <w:style w:type="paragraph" w:customStyle="1" w:styleId="36">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7">
    <w:name w:val="批注文字 字符"/>
    <w:basedOn w:val="20"/>
    <w:link w:val="11"/>
    <w:qFormat/>
    <w:uiPriority w:val="0"/>
    <w:rPr>
      <w:rFonts w:asciiTheme="minorHAnsi" w:hAnsiTheme="minorHAnsi" w:eastAsiaTheme="minorEastAsia" w:cstheme="minorBidi"/>
      <w:kern w:val="2"/>
      <w:sz w:val="21"/>
      <w:szCs w:val="24"/>
    </w:rPr>
  </w:style>
  <w:style w:type="character" w:customStyle="1" w:styleId="38">
    <w:name w:val="批注主题 字符"/>
    <w:basedOn w:val="37"/>
    <w:link w:val="17"/>
    <w:qFormat/>
    <w:uiPriority w:val="0"/>
    <w:rPr>
      <w:rFonts w:asciiTheme="minorHAnsi" w:hAnsiTheme="minorHAnsi" w:eastAsiaTheme="minorEastAsia" w:cstheme="minorBidi"/>
      <w:b/>
      <w:bCs/>
      <w:kern w:val="2"/>
      <w:sz w:val="21"/>
      <w:szCs w:val="24"/>
    </w:rPr>
  </w:style>
  <w:style w:type="paragraph" w:customStyle="1" w:styleId="39">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0">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1">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2">
    <w:name w:val="修订5"/>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b386111e-7f69-4c5f-81ca-ed434ba7e5e6</errorID>
      <errorWord>免于</errorWord>
      <group>L1_Word</group>
      <groupName>字词问题</groupName>
      <ability>L2_Typo</ability>
      <abilityName>字词错误</abilityName>
      <candidateList>
        <item>免予</item>
      </candidateList>
      <explain>存在发音相同字词的误用。</explain>
      <paraID>32F3B853</paraID>
      <start>157</start>
      <end>159</end>
      <status>ignored</status>
      <modifiedWord/>
      <trackRevisions>false</trackRevisions>
    </reviewItem>
    <reviewItem>
      <errorID>e6a5895f-a2c4-4b37-a176-e087a69471c3</errorID>
      <errorWord>免于</errorWord>
      <group>L1_Word</group>
      <groupName>字词问题</groupName>
      <ability>L2_Typo</ability>
      <abilityName>字词错误</abilityName>
      <candidateList>
        <item>免予</item>
      </candidateList>
      <explain>存在发音相同字词的误用。</explain>
      <paraID>20D988FB</paraID>
      <start>3</start>
      <end>5</end>
      <status>ignored</status>
      <modifiedWord/>
      <trackRevisions>false</trackRevisions>
    </reviewItem>
    <reviewItem>
      <errorID>8c267543-37f7-4fdd-9ecf-c4690aff0d74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253E2865</paraID>
      <start>0</start>
      <end>2</end>
      <status>ignored</status>
      <modifiedWord/>
      <trackRevisions>false</trackRevisions>
    </reviewItem>
    <reviewItem>
      <errorID>0a168997-3663-4109-a5eb-652b53647e12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56840650</paraID>
      <start>0</start>
      <end>2</end>
      <status>unmodified</status>
      <modifiedWord/>
      <trackRevisions>false</trackRevisions>
    </reviewItem>
    <reviewItem>
      <errorID>30a613b8-5988-4ef6-bca2-d211234728df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74175322</paraID>
      <start>0</start>
      <end>2</end>
      <status>unmodified</status>
      <modifiedWord/>
      <trackRevisions>false</trackRevisions>
    </reviewItem>
    <reviewItem>
      <errorID>913406bb-34e7-4d7a-b186-1d8bdbc7e27d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476346A3</paraID>
      <start>0</start>
      <end>2</end>
      <status>unmodified</status>
      <modifiedWord/>
      <trackRevisions>false</trackRevisions>
    </reviewItem>
    <reviewItem>
      <errorID>3d1f5f86-f338-4190-b634-1a87d2d95632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7B6F4CBE</paraID>
      <start>0</start>
      <end>2</end>
      <status>unmodified</status>
      <modifiedWord/>
      <trackRevisions>false</trackRevisions>
    </reviewItem>
    <reviewItem>
      <errorID>8076720d-3713-4f38-8dca-a4712ccf39cc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6418820E</paraID>
      <start>0</start>
      <end>2</end>
      <status>unmodified</status>
      <modifiedWord/>
      <trackRevisions>false</trackRevisions>
    </reviewItem>
    <reviewItem>
      <errorID>3bd0ff2f-59cc-4942-9d7c-3de20ebe90da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6A92EB26</paraID>
      <start>0</start>
      <end>2</end>
      <status>unmodified</status>
      <modifiedWord/>
      <trackRevisions>false</trackRevisions>
    </reviewItem>
    <reviewItem>
      <errorID>2834c8c1-7fdc-4683-b1e2-cd7b3cdc5697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14603D5</paraID>
      <start>11</start>
      <end>14</end>
      <status>unmodified</status>
      <modifiedWord/>
      <trackRevisions>false</trackRevisions>
    </reviewItem>
    <reviewItem>
      <errorID>aa5fb795-2b34-4ca0-81c9-38726fbb74c1</errorID>
      <errorWord>“</errorWord>
      <group>L1_Punc</group>
      <groupName>标点问题</groupName>
      <ability>L2_Punc_CN</ability>
      <abilityName>标点符号问题</abilityName>
      <candidateList>
        <item>”</item>
      </candidateList>
      <explain>注意检查双引号的方向是否正确。</explain>
      <paraID> 14603D5</paraID>
      <start>39</start>
      <end>40</end>
      <status>unmodified</status>
      <modifiedWord/>
      <trackRevisions>false</trackRevisions>
    </reviewItem>
    <reviewItem>
      <errorID>4e0e515c-73be-4677-ac39-3e7029138c10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546025F4</paraID>
      <start>0</start>
      <end>2</end>
      <status>unmodified</status>
      <modifiedWord/>
      <trackRevisions>false</trackRevisions>
    </reviewItem>
    <reviewItem>
      <errorID>0491ddbe-2fd9-4317-b654-e36b6aeb26d1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387ACC98</paraID>
      <start>0</start>
      <end>2</end>
      <status>unmodified</status>
      <modifiedWord/>
      <trackRevisions>false</trackRevisions>
    </reviewItem>
    <reviewItem>
      <errorID>36a5b7fb-8eb3-4ce8-8799-91121d823e13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D9C6061</paraID>
      <start>0</start>
      <end>2</end>
      <status>unmodified</status>
      <modifiedWord/>
      <trackRevisions>false</trackRevisions>
    </reviewItem>
    <reviewItem>
      <errorID>7ea7ab2c-a873-4676-a4bc-0b6e945c4b82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79456B57</paraID>
      <start>0</start>
      <end>2</end>
      <status>unmodified</status>
      <modifiedWord/>
      <trackRevisions>false</trackRevisions>
    </reviewItem>
    <reviewItem>
      <errorID>51be9be0-0039-4594-a06a-cb6740b4ce30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2BD44385</paraID>
      <start>0</start>
      <end>2</end>
      <status>unmodified</status>
      <modifiedWord/>
      <trackRevisions>false</trackRevisions>
    </reviewItem>
    <reviewItem>
      <errorID>330af537-99dd-4131-8e3f-3b2e97b41cfd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4760B6F9</paraID>
      <start>0</start>
      <end>2</end>
      <status>unmodified</status>
      <modifiedWord/>
      <trackRevisions>false</trackRevisions>
    </reviewItem>
    <reviewItem>
      <errorID>99f719a5-95cf-4317-a681-698618d848bd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1A5F21DF</paraID>
      <start>0</start>
      <end>2</end>
      <status>unmodified</status>
      <modifiedWord/>
      <trackRevisions>false</trackRevisions>
    </reviewItem>
    <reviewItem>
      <errorID>9f1c8c10-9863-4a25-873a-074706d58d14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642CD939</paraID>
      <start>0</start>
      <end>2</end>
      <status>unmodified</status>
      <modifiedWord/>
      <trackRevisions>false</trackRevisions>
    </reviewItem>
    <reviewItem>
      <errorID>acc8f980-badc-4821-adce-33e388c06328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4022D8A</paraID>
      <start>0</start>
      <end>2</end>
      <status>unmodified</status>
      <modifiedWord/>
      <trackRevisions>false</trackRevisions>
    </reviewItem>
    <reviewItem>
      <errorID>0ea2ec57-15c4-4343-93ac-38dd1854b0d9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16C5332</paraID>
      <start>0</start>
      <end>2</end>
      <status>unmodified</status>
      <modifiedWord/>
      <trackRevisions>false</trackRevisions>
    </reviewItem>
    <reviewItem>
      <errorID>6e1615af-820d-429c-9767-d83b24b0f895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1EA753EB</paraID>
      <start>0</start>
      <end>2</end>
      <status>unmodified</status>
      <modifiedWord/>
      <trackRevisions>false</trackRevisions>
    </reviewItem>
    <reviewItem>
      <errorID>b7d5a43f-9abf-42b7-92f2-7ea8570c399c</errorID>
      <errorWord>、且</errorWord>
      <group>L1_Word</group>
      <groupName>字词问题</groupName>
      <ability>L2_Typo</ability>
      <abilityName>字词错误</abilityName>
      <candidateList>
        <item>且</item>
      </candidateList>
      <explain/>
      <paraID>1EA753EB</paraID>
      <start>22</start>
      <end>24</end>
      <status>ignored</status>
      <modifiedWord/>
      <trackRevisions>false</trackRevisions>
    </reviewItem>
    <reviewItem>
      <errorID>c97083cb-db61-4ff3-b0dd-6e813fad2dcb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4FF867B5</paraID>
      <start>0</start>
      <end>2</end>
      <status>unmodified</status>
      <modifiedWord/>
      <trackRevisions>false</trackRevisions>
    </reviewItem>
    <reviewItem>
      <errorID>36aafd75-3fb2-4dae-b2d1-5e59b363b760</errorID>
      <errorWord>中的</errorWord>
      <group>L1_Word</group>
      <groupName>字词问题</groupName>
      <ability>L2_Typo</ability>
      <abilityName>字词错误</abilityName>
      <candidateList>
        <item>中</item>
      </candidateList>
      <explain/>
      <paraID>2C060E58</paraID>
      <start>17</start>
      <end>19</end>
      <status>unmodified</status>
      <modifiedWord/>
      <trackRevisions>false</trackRevisions>
    </reviewItem>
    <reviewItem>
      <errorID>e968fb2b-34ed-4733-ba21-d22b24e30211</errorID>
      <errorWord>涉及的</errorWord>
      <group>L1_Word</group>
      <groupName>字词问题</groupName>
      <ability>L2_Typo</ability>
      <abilityName>字词错误</abilityName>
      <candidateList>
        <item>涉及</item>
      </candidateList>
      <explain/>
      <paraID>2C060E58</paraID>
      <start>19</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C5B59936-5AD9-4010-A024-5132896D06AC}">
  <ds:schemaRefs/>
</ds:datastoreItem>
</file>

<file path=customXml/itemProps2.xml><?xml version="1.0" encoding="utf-8"?>
<ds:datastoreItem xmlns:ds="http://schemas.openxmlformats.org/officeDocument/2006/customXml" ds:itemID="{1A740478-D685-4C5D-B5B3-9CAD6D641B01}">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2152</Words>
  <Characters>2170</Characters>
  <Lines>15</Lines>
  <Paragraphs>4</Paragraphs>
  <TotalTime>0</TotalTime>
  <ScaleCrop>false</ScaleCrop>
  <LinksUpToDate>false</LinksUpToDate>
  <CharactersWithSpaces>2170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2026-06-18T10:47:00Z</dcterms:created>
  <dc:creator>mayn</dc:creator>
  <cp:lastModifiedBy>土壤辐射科</cp:lastModifiedBy>
  <cp:lastPrinted>2026-06-29T05:18:00Z</cp:lastPrinted>
  <dcterms:modified xsi:type="dcterms:W3CDTF">2026-09-04T08:19:59Z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eyJoZGlkIjoiYTcxOTMyOTRlNmMwMjYyYzg1ZTBlMmNkNzA4OTY4MTYiLCJ1c2VySWQiOiI0NTg1MTAyNDQifQ==</vt:lpwstr>
  </property>
  <property fmtid="{D5CDD505-2E9C-101B-9397-08002B2CF9AE}" pid="4" name="ICV">
    <vt:lpwstr>574D0C97E8F24F21B153850BFF5C76B5_13</vt:lpwstr>
  </property>
</Properties>
</file>