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480"/>
        <w:rPr>
          <w:rFonts w:ascii="宋体" w:hAnsi="宋体" w:eastAsia="宋体" w:cs="宋体"/>
          <w:kern w:val="0"/>
          <w:sz w:val="24"/>
          <w:szCs w:val="24"/>
        </w:rPr>
      </w:pPr>
    </w:p>
    <w:p>
      <w:pPr>
        <w:widowControl/>
        <w:jc w:val="center"/>
        <w:rPr>
          <w:rFonts w:ascii="宋体" w:hAnsi="宋体" w:eastAsia="宋体" w:cs="宋体"/>
          <w:b/>
          <w:bCs/>
          <w:kern w:val="0"/>
          <w:sz w:val="36"/>
          <w:szCs w:val="36"/>
        </w:rPr>
      </w:pPr>
      <w:r>
        <w:rPr>
          <w:rFonts w:hint="eastAsia" w:ascii="宋体" w:hAnsi="宋体" w:eastAsia="宋体" w:cs="宋体"/>
          <w:b/>
          <w:bCs/>
          <w:kern w:val="0"/>
          <w:sz w:val="36"/>
          <w:szCs w:val="36"/>
        </w:rPr>
        <w:t>徐汇区文化和旅游局202</w:t>
      </w:r>
      <w:r>
        <w:rPr>
          <w:rFonts w:ascii="宋体" w:hAnsi="宋体" w:eastAsia="宋体" w:cs="宋体"/>
          <w:b/>
          <w:bCs/>
          <w:kern w:val="0"/>
          <w:sz w:val="36"/>
          <w:szCs w:val="36"/>
        </w:rPr>
        <w:t>3</w:t>
      </w:r>
      <w:r>
        <w:rPr>
          <w:rFonts w:hint="eastAsia" w:ascii="宋体" w:hAnsi="宋体" w:eastAsia="宋体" w:cs="宋体"/>
          <w:b/>
          <w:bCs/>
          <w:kern w:val="0"/>
          <w:sz w:val="36"/>
          <w:szCs w:val="36"/>
        </w:rPr>
        <w:t>年度政府信息公开工作</w:t>
      </w:r>
    </w:p>
    <w:p>
      <w:pPr>
        <w:widowControl/>
        <w:jc w:val="center"/>
        <w:rPr>
          <w:rFonts w:ascii="宋体" w:hAnsi="宋体" w:eastAsia="宋体" w:cs="宋体"/>
          <w:kern w:val="0"/>
          <w:sz w:val="24"/>
          <w:szCs w:val="24"/>
        </w:rPr>
      </w:pPr>
      <w:r>
        <w:rPr>
          <w:rFonts w:hint="eastAsia" w:ascii="宋体" w:hAnsi="宋体" w:eastAsia="宋体" w:cs="宋体"/>
          <w:b/>
          <w:bCs/>
          <w:kern w:val="0"/>
          <w:sz w:val="36"/>
          <w:szCs w:val="36"/>
        </w:rPr>
        <w:t>年度报告</w:t>
      </w:r>
    </w:p>
    <w:p>
      <w:pPr>
        <w:widowControl/>
        <w:ind w:firstLine="480"/>
        <w:rPr>
          <w:rFonts w:ascii="宋体" w:hAnsi="宋体" w:eastAsia="宋体" w:cs="宋体"/>
          <w:kern w:val="0"/>
          <w:sz w:val="24"/>
          <w:szCs w:val="24"/>
        </w:rPr>
      </w:pPr>
    </w:p>
    <w:p>
      <w:pPr>
        <w:widowControl/>
        <w:rPr>
          <w:rFonts w:ascii="宋体" w:hAnsi="宋体" w:eastAsia="宋体" w:cs="宋体"/>
          <w:kern w:val="0"/>
          <w:sz w:val="24"/>
          <w:szCs w:val="24"/>
        </w:rPr>
      </w:pPr>
    </w:p>
    <w:p>
      <w:pPr>
        <w:widowControl/>
        <w:ind w:firstLine="480"/>
        <w:rPr>
          <w:rFonts w:ascii="宋体" w:hAnsi="宋体" w:eastAsia="宋体" w:cs="宋体"/>
          <w:kern w:val="0"/>
          <w:sz w:val="24"/>
          <w:szCs w:val="24"/>
        </w:rPr>
      </w:pPr>
      <w:r>
        <w:rPr>
          <w:rFonts w:hint="eastAsia" w:ascii="宋体" w:hAnsi="宋体" w:eastAsia="宋体" w:cs="宋体"/>
          <w:b/>
          <w:bCs/>
          <w:kern w:val="0"/>
          <w:sz w:val="24"/>
          <w:szCs w:val="24"/>
        </w:rPr>
        <w:t>一、总体情况</w:t>
      </w:r>
    </w:p>
    <w:p>
      <w:pPr>
        <w:widowControl/>
        <w:spacing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根据《中华人民共和国政府信息公开条例》（以下简称《条例》）和《上海市政府信息公开规定》（以下简称《规定》）要求，徐汇区文化和旅游局成立了局信息公开工作领导小组，相关职能部门负责人和事业单位领导为小组成员，配备了各级联络员和兼职工作人员。依托徐汇区图书馆作为公共查阅点，确保了区文化和旅游局政府信息公开工作的正常运行。一年来，区文化和旅游局积极贯彻落实《条例》和《规定》要求，加强信息公开工作制度建设，完善公开月度统计、公文类信息目录备案、年度报告等工作流程，确保政府信息安全准确及时向社会公开。</w:t>
      </w:r>
    </w:p>
    <w:p>
      <w:pPr>
        <w:widowControl/>
        <w:spacing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一是主动公开方面。在徐汇区政府门户网站文化和旅游局页面政务公开专栏主动公开机关职能、机构设置、办公地址、办公时间、联系方式、负责人姓名、文化和旅游专项规划、文化和旅游相关政策、统计信息、局及下属机构财政预决算信息，在区一网通办网站公开办理行政许可、行政处罚、行政强制的依据、条件、程序以及办理结果，同时在徐汇区政府门户网站文化和旅游局页面政务公开专栏公开局集中采购项目的目录、标准及实施情况，局重大建设项目的批准和实施情况，突发公共事件的应急预案、预警信息及应对信息，以及法律、法规、规章和国家有关规定应当主动公开的其他政府信息，同时，利用徐汇文创、徐汇文旅等微信公众号平台配合做好政府信息主动公开工作。</w:t>
      </w:r>
    </w:p>
    <w:p>
      <w:pPr>
        <w:widowControl/>
        <w:spacing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二是依申请公开方面。区文旅局在机构合并后调整、完善依申请公开工作制度，本年度区文旅局共收到信息公开申请</w:t>
      </w:r>
      <w:r>
        <w:rPr>
          <w:rFonts w:ascii="宋体" w:hAnsi="宋体" w:eastAsia="宋体" w:cs="宋体"/>
          <w:kern w:val="0"/>
          <w:sz w:val="24"/>
          <w:szCs w:val="24"/>
        </w:rPr>
        <w:t>3</w:t>
      </w:r>
      <w:r>
        <w:rPr>
          <w:rFonts w:hint="eastAsia" w:ascii="宋体" w:hAnsi="宋体" w:eastAsia="宋体" w:cs="宋体"/>
          <w:kern w:val="0"/>
          <w:sz w:val="24"/>
          <w:szCs w:val="24"/>
        </w:rPr>
        <w:t>件，均在规定时限内规范完成办理。</w:t>
      </w:r>
    </w:p>
    <w:p>
      <w:pPr>
        <w:widowControl/>
        <w:spacing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三是政府信息管理方面。建立健全区文旅局政府信息管理制度，配备专人进行政府信息管理工作，加强队伍建设，定期开展信息员培训，组织学习政府信息公开相关政策和法规，提高信息公开工作的标准化和专业化水平。</w:t>
      </w:r>
    </w:p>
    <w:p>
      <w:pPr>
        <w:widowControl/>
        <w:spacing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四是平台建设方面。依托徐汇区政府门户网站、徐汇文旅、徐汇文创等微信公众号、徐汇区政府政务公开标准化规范化试点网站，及时发布更新相关政务信息，做好政府信息公开微信公众号平台整合工作。</w:t>
      </w:r>
    </w:p>
    <w:p>
      <w:pPr>
        <w:widowControl/>
        <w:spacing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五是监督保障方面。不断加强监督保障，将政务信息公开纳入部门工作考核之中，建立健全考核指标，增加考核比重，强化责任落实，截至202</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年底，徐汇区文化和旅游局信息公开工作稳步推进。</w:t>
      </w:r>
    </w:p>
    <w:p>
      <w:pPr>
        <w:widowControl/>
        <w:rPr>
          <w:rFonts w:ascii="宋体" w:hAnsi="宋体" w:eastAsia="宋体" w:cs="宋体"/>
          <w:kern w:val="0"/>
          <w:sz w:val="24"/>
          <w:szCs w:val="24"/>
        </w:rPr>
      </w:pPr>
    </w:p>
    <w:p>
      <w:pPr>
        <w:widowControl/>
        <w:spacing w:after="240"/>
        <w:ind w:firstLine="480"/>
        <w:rPr>
          <w:rFonts w:ascii="宋体" w:hAnsi="宋体" w:eastAsia="宋体" w:cs="宋体"/>
          <w:b/>
          <w:bCs/>
          <w:kern w:val="0"/>
          <w:sz w:val="24"/>
          <w:szCs w:val="24"/>
        </w:rPr>
      </w:pPr>
      <w:r>
        <w:rPr>
          <w:rFonts w:hint="eastAsia" w:ascii="宋体" w:hAnsi="宋体" w:eastAsia="宋体" w:cs="宋体"/>
          <w:b/>
          <w:bCs/>
          <w:kern w:val="0"/>
          <w:sz w:val="24"/>
          <w:szCs w:val="24"/>
        </w:rPr>
        <w:t>二、主动公开政府信息情况</w:t>
      </w:r>
    </w:p>
    <w:tbl>
      <w:tblPr>
        <w:tblStyle w:val="6"/>
        <w:tblW w:w="8140" w:type="dxa"/>
        <w:jc w:val="center"/>
        <w:tblLayout w:type="autofit"/>
        <w:tblCellMar>
          <w:top w:w="0" w:type="dxa"/>
          <w:left w:w="108" w:type="dxa"/>
          <w:bottom w:w="0" w:type="dxa"/>
          <w:right w:w="108" w:type="dxa"/>
        </w:tblCellMar>
      </w:tblPr>
      <w:tblGrid>
        <w:gridCol w:w="2752"/>
        <w:gridCol w:w="1936"/>
        <w:gridCol w:w="1571"/>
        <w:gridCol w:w="1881"/>
      </w:tblGrid>
      <w:tr>
        <w:tblPrEx>
          <w:tblCellMar>
            <w:top w:w="0" w:type="dxa"/>
            <w:left w:w="108" w:type="dxa"/>
            <w:bottom w:w="0" w:type="dxa"/>
            <w:right w:w="108" w:type="dxa"/>
          </w:tblCellMar>
        </w:tblPrEx>
        <w:trPr>
          <w:trHeight w:val="495" w:hRule="atLeast"/>
          <w:jc w:val="center"/>
        </w:trPr>
        <w:tc>
          <w:tcPr>
            <w:tcW w:w="8140" w:type="dxa"/>
            <w:gridSpan w:val="4"/>
            <w:tcBorders>
              <w:top w:val="single" w:color="auto" w:sz="4" w:space="0"/>
              <w:left w:val="single" w:color="auto" w:sz="4" w:space="0"/>
              <w:bottom w:val="single" w:color="auto" w:sz="4" w:space="0"/>
              <w:right w:val="single" w:color="auto" w:sz="4" w:space="0"/>
            </w:tcBorders>
            <w:shd w:val="clear" w:color="auto" w:fill="C6D9F1"/>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第二十条第（一）项</w:t>
            </w:r>
          </w:p>
        </w:tc>
      </w:tr>
      <w:tr>
        <w:tblPrEx>
          <w:tblCellMar>
            <w:top w:w="0" w:type="dxa"/>
            <w:left w:w="108" w:type="dxa"/>
            <w:bottom w:w="0" w:type="dxa"/>
            <w:right w:w="108" w:type="dxa"/>
          </w:tblCellMar>
        </w:tblPrEx>
        <w:trPr>
          <w:trHeight w:val="882"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1936" w:type="dxa"/>
            <w:tcBorders>
              <w:top w:val="single" w:color="auto" w:sz="4" w:space="0"/>
              <w:left w:val="nil"/>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本年制发件数</w:t>
            </w:r>
          </w:p>
        </w:tc>
        <w:tc>
          <w:tcPr>
            <w:tcW w:w="1571"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本年废止件数</w:t>
            </w:r>
          </w:p>
        </w:tc>
        <w:tc>
          <w:tcPr>
            <w:tcW w:w="1881" w:type="dxa"/>
            <w:tcBorders>
              <w:top w:val="nil"/>
              <w:left w:val="nil"/>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现行废止件数</w:t>
            </w:r>
          </w:p>
        </w:tc>
      </w:tr>
      <w:tr>
        <w:tblPrEx>
          <w:tblCellMar>
            <w:top w:w="0" w:type="dxa"/>
            <w:left w:w="108" w:type="dxa"/>
            <w:bottom w:w="0" w:type="dxa"/>
            <w:right w:w="108" w:type="dxa"/>
          </w:tblCellMar>
        </w:tblPrEx>
        <w:trPr>
          <w:trHeight w:val="523"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规章</w:t>
            </w:r>
          </w:p>
        </w:tc>
        <w:tc>
          <w:tcPr>
            <w:tcW w:w="1936" w:type="dxa"/>
            <w:tcBorders>
              <w:top w:val="single" w:color="auto" w:sz="4" w:space="0"/>
              <w:left w:val="nil"/>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 xml:space="preserve">  0</w:t>
            </w:r>
          </w:p>
        </w:tc>
        <w:tc>
          <w:tcPr>
            <w:tcW w:w="1571"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Calibri" w:eastAsia="宋体" w:cs="Times New Roman"/>
                <w:color w:val="000000"/>
                <w:kern w:val="0"/>
                <w:sz w:val="20"/>
                <w:szCs w:val="20"/>
              </w:rPr>
              <w:t> 0</w:t>
            </w:r>
          </w:p>
        </w:tc>
        <w:tc>
          <w:tcPr>
            <w:tcW w:w="1881" w:type="dxa"/>
            <w:tcBorders>
              <w:top w:val="nil"/>
              <w:left w:val="nil"/>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　0</w:t>
            </w:r>
          </w:p>
        </w:tc>
      </w:tr>
      <w:tr>
        <w:tblPrEx>
          <w:tblCellMar>
            <w:top w:w="0" w:type="dxa"/>
            <w:left w:w="108" w:type="dxa"/>
            <w:bottom w:w="0" w:type="dxa"/>
            <w:right w:w="108" w:type="dxa"/>
          </w:tblCellMar>
        </w:tblPrEx>
        <w:trPr>
          <w:trHeight w:val="471"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规范性文件</w:t>
            </w:r>
          </w:p>
        </w:tc>
        <w:tc>
          <w:tcPr>
            <w:tcW w:w="1936" w:type="dxa"/>
            <w:tcBorders>
              <w:top w:val="nil"/>
              <w:left w:val="nil"/>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 xml:space="preserve">  0</w:t>
            </w:r>
          </w:p>
        </w:tc>
        <w:tc>
          <w:tcPr>
            <w:tcW w:w="1571" w:type="dxa"/>
            <w:tcBorders>
              <w:top w:val="nil"/>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Calibri" w:eastAsia="宋体" w:cs="Times New Roman"/>
                <w:color w:val="000000"/>
                <w:kern w:val="0"/>
                <w:sz w:val="20"/>
                <w:szCs w:val="20"/>
              </w:rPr>
              <w:t> 0</w:t>
            </w:r>
          </w:p>
        </w:tc>
        <w:tc>
          <w:tcPr>
            <w:tcW w:w="1881" w:type="dxa"/>
            <w:tcBorders>
              <w:top w:val="nil"/>
              <w:left w:val="nil"/>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　0</w:t>
            </w:r>
          </w:p>
        </w:tc>
      </w:tr>
      <w:tr>
        <w:tblPrEx>
          <w:tblCellMar>
            <w:top w:w="0" w:type="dxa"/>
            <w:left w:w="108" w:type="dxa"/>
            <w:bottom w:w="0" w:type="dxa"/>
            <w:right w:w="108" w:type="dxa"/>
          </w:tblCellMar>
        </w:tblPrEx>
        <w:trPr>
          <w:trHeight w:val="480" w:hRule="atLeast"/>
          <w:jc w:val="center"/>
        </w:trPr>
        <w:tc>
          <w:tcPr>
            <w:tcW w:w="8140" w:type="dxa"/>
            <w:gridSpan w:val="4"/>
            <w:tcBorders>
              <w:top w:val="single" w:color="auto" w:sz="4" w:space="0"/>
              <w:left w:val="single" w:color="auto" w:sz="4" w:space="0"/>
              <w:bottom w:val="single" w:color="auto" w:sz="4" w:space="0"/>
              <w:right w:val="single" w:color="auto" w:sz="4" w:space="0"/>
            </w:tcBorders>
            <w:shd w:val="clear" w:color="auto" w:fill="C6D9F1"/>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第二十条第（五）项</w:t>
            </w:r>
          </w:p>
        </w:tc>
      </w:tr>
      <w:tr>
        <w:tblPrEx>
          <w:tblCellMar>
            <w:top w:w="0" w:type="dxa"/>
            <w:left w:w="108" w:type="dxa"/>
            <w:bottom w:w="0" w:type="dxa"/>
            <w:right w:w="108" w:type="dxa"/>
          </w:tblCellMar>
        </w:tblPrEx>
        <w:trPr>
          <w:trHeight w:val="634"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5388" w:type="dxa"/>
            <w:gridSpan w:val="3"/>
            <w:tcBorders>
              <w:top w:val="single" w:color="auto" w:sz="4" w:space="0"/>
              <w:left w:val="nil"/>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本年处理决定数量</w:t>
            </w:r>
          </w:p>
        </w:tc>
      </w:tr>
      <w:tr>
        <w:tblPrEx>
          <w:tblCellMar>
            <w:top w:w="0" w:type="dxa"/>
            <w:left w:w="108" w:type="dxa"/>
            <w:bottom w:w="0" w:type="dxa"/>
            <w:right w:w="108" w:type="dxa"/>
          </w:tblCellMar>
        </w:tblPrEx>
        <w:trPr>
          <w:trHeight w:val="528"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行政许可</w:t>
            </w:r>
          </w:p>
        </w:tc>
        <w:tc>
          <w:tcPr>
            <w:tcW w:w="5388" w:type="dxa"/>
            <w:gridSpan w:val="3"/>
            <w:tcBorders>
              <w:top w:val="nil"/>
              <w:left w:val="nil"/>
              <w:bottom w:val="single" w:color="auto" w:sz="4" w:space="0"/>
              <w:right w:val="single" w:color="auto" w:sz="4" w:space="0"/>
            </w:tcBorders>
            <w:noWrap/>
            <w:vAlign w:val="center"/>
          </w:tcPr>
          <w:p>
            <w:pPr>
              <w:widowControl/>
              <w:spacing w:before="100" w:beforeAutospacing="1" w:after="100" w:afterAutospacing="1"/>
              <w:jc w:val="center"/>
              <w:rPr>
                <w:rFonts w:hint="default" w:ascii="宋体" w:hAnsi="宋体" w:eastAsia="宋体" w:cs="宋体"/>
                <w:kern w:val="0"/>
                <w:sz w:val="24"/>
                <w:szCs w:val="24"/>
                <w:lang w:val="en-US" w:eastAsia="zh-CN"/>
              </w:rPr>
            </w:pPr>
            <w:r>
              <w:rPr>
                <w:rFonts w:hint="eastAsia" w:ascii="宋体" w:hAnsi="宋体" w:eastAsia="宋体" w:cs="宋体"/>
                <w:color w:val="000000"/>
                <w:kern w:val="0"/>
                <w:sz w:val="20"/>
                <w:szCs w:val="20"/>
              </w:rPr>
              <w:t>11</w:t>
            </w:r>
            <w:r>
              <w:rPr>
                <w:rFonts w:hint="eastAsia" w:ascii="宋体" w:hAnsi="宋体" w:eastAsia="宋体" w:cs="宋体"/>
                <w:color w:val="000000"/>
                <w:kern w:val="0"/>
                <w:sz w:val="20"/>
                <w:szCs w:val="20"/>
                <w:lang w:val="en-US" w:eastAsia="zh-CN"/>
              </w:rPr>
              <w:t>33</w:t>
            </w:r>
          </w:p>
        </w:tc>
      </w:tr>
      <w:tr>
        <w:tblPrEx>
          <w:tblCellMar>
            <w:top w:w="0" w:type="dxa"/>
            <w:left w:w="108" w:type="dxa"/>
            <w:bottom w:w="0" w:type="dxa"/>
            <w:right w:w="108" w:type="dxa"/>
          </w:tblCellMar>
        </w:tblPrEx>
        <w:trPr>
          <w:trHeight w:val="406" w:hRule="atLeast"/>
          <w:jc w:val="center"/>
        </w:trPr>
        <w:tc>
          <w:tcPr>
            <w:tcW w:w="8140" w:type="dxa"/>
            <w:gridSpan w:val="4"/>
            <w:tcBorders>
              <w:top w:val="single" w:color="auto" w:sz="4" w:space="0"/>
              <w:left w:val="single" w:color="auto" w:sz="4" w:space="0"/>
              <w:bottom w:val="single" w:color="auto" w:sz="4" w:space="0"/>
              <w:right w:val="single" w:color="auto" w:sz="4" w:space="0"/>
            </w:tcBorders>
            <w:shd w:val="clear" w:color="auto" w:fill="C6D9F1"/>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第二十条第（六）项</w:t>
            </w:r>
          </w:p>
        </w:tc>
      </w:tr>
      <w:tr>
        <w:tblPrEx>
          <w:tblCellMar>
            <w:top w:w="0" w:type="dxa"/>
            <w:left w:w="108" w:type="dxa"/>
            <w:bottom w:w="0" w:type="dxa"/>
            <w:right w:w="108" w:type="dxa"/>
          </w:tblCellMar>
        </w:tblPrEx>
        <w:trPr>
          <w:trHeight w:val="634"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5388" w:type="dxa"/>
            <w:gridSpan w:val="3"/>
            <w:tcBorders>
              <w:top w:val="single" w:color="auto" w:sz="4" w:space="0"/>
              <w:left w:val="nil"/>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本年处理决定数量</w:t>
            </w:r>
          </w:p>
        </w:tc>
      </w:tr>
      <w:tr>
        <w:tblPrEx>
          <w:tblCellMar>
            <w:top w:w="0" w:type="dxa"/>
            <w:left w:w="108" w:type="dxa"/>
            <w:bottom w:w="0" w:type="dxa"/>
            <w:right w:w="108" w:type="dxa"/>
          </w:tblCellMar>
        </w:tblPrEx>
        <w:trPr>
          <w:trHeight w:val="430"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行政处罚</w:t>
            </w:r>
          </w:p>
        </w:tc>
        <w:tc>
          <w:tcPr>
            <w:tcW w:w="5388" w:type="dxa"/>
            <w:gridSpan w:val="3"/>
            <w:tcBorders>
              <w:top w:val="single" w:color="auto" w:sz="4" w:space="0"/>
              <w:left w:val="nil"/>
              <w:bottom w:val="single" w:color="auto" w:sz="4" w:space="0"/>
              <w:right w:val="single" w:color="auto" w:sz="4" w:space="0"/>
            </w:tcBorders>
            <w:noWrap/>
            <w:vAlign w:val="center"/>
          </w:tcPr>
          <w:p>
            <w:pPr>
              <w:widowControl/>
              <w:spacing w:before="100" w:beforeAutospacing="1" w:after="100" w:afterAutospacing="1"/>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7</w:t>
            </w:r>
            <w:r>
              <w:rPr>
                <w:rFonts w:hint="eastAsia" w:ascii="宋体" w:hAnsi="宋体" w:eastAsia="宋体" w:cs="宋体"/>
                <w:color w:val="000000"/>
                <w:kern w:val="0"/>
                <w:sz w:val="20"/>
                <w:szCs w:val="20"/>
                <w:lang w:val="en-US" w:eastAsia="zh-CN"/>
              </w:rPr>
              <w:t>7</w:t>
            </w:r>
          </w:p>
        </w:tc>
      </w:tr>
      <w:tr>
        <w:tblPrEx>
          <w:tblCellMar>
            <w:top w:w="0" w:type="dxa"/>
            <w:left w:w="108" w:type="dxa"/>
            <w:bottom w:w="0" w:type="dxa"/>
            <w:right w:w="108" w:type="dxa"/>
          </w:tblCellMar>
        </w:tblPrEx>
        <w:trPr>
          <w:trHeight w:val="396"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行政强制</w:t>
            </w:r>
          </w:p>
        </w:tc>
        <w:tc>
          <w:tcPr>
            <w:tcW w:w="5388" w:type="dxa"/>
            <w:gridSpan w:val="3"/>
            <w:tcBorders>
              <w:top w:val="nil"/>
              <w:left w:val="nil"/>
              <w:bottom w:val="single" w:color="auto" w:sz="4" w:space="0"/>
            </w:tcBorders>
            <w:noWrap/>
            <w:vAlign w:val="center"/>
          </w:tcPr>
          <w:p>
            <w:pPr>
              <w:widowControl/>
              <w:spacing w:before="100" w:beforeAutospacing="1" w:after="100" w:afterAutospacing="1"/>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1</w:t>
            </w:r>
            <w:r>
              <w:rPr>
                <w:rFonts w:hint="eastAsia" w:ascii="宋体" w:hAnsi="宋体" w:eastAsia="宋体" w:cs="宋体"/>
                <w:color w:val="000000"/>
                <w:kern w:val="0"/>
                <w:sz w:val="20"/>
                <w:szCs w:val="20"/>
                <w:lang w:val="en-US" w:eastAsia="zh-CN"/>
              </w:rPr>
              <w:t>7</w:t>
            </w:r>
            <w:bookmarkStart w:id="0" w:name="_GoBack"/>
            <w:bookmarkEnd w:id="0"/>
          </w:p>
        </w:tc>
      </w:tr>
      <w:tr>
        <w:tblPrEx>
          <w:tblCellMar>
            <w:top w:w="0" w:type="dxa"/>
            <w:left w:w="108" w:type="dxa"/>
            <w:bottom w:w="0" w:type="dxa"/>
            <w:right w:w="108" w:type="dxa"/>
          </w:tblCellMar>
        </w:tblPrEx>
        <w:trPr>
          <w:trHeight w:val="474" w:hRule="atLeast"/>
          <w:jc w:val="center"/>
        </w:trPr>
        <w:tc>
          <w:tcPr>
            <w:tcW w:w="8140" w:type="dxa"/>
            <w:gridSpan w:val="4"/>
            <w:tcBorders>
              <w:top w:val="single" w:color="auto" w:sz="4" w:space="0"/>
              <w:left w:val="single" w:color="auto" w:sz="4" w:space="0"/>
              <w:bottom w:val="single" w:color="auto" w:sz="4" w:space="0"/>
              <w:right w:val="single" w:color="auto" w:sz="4" w:space="0"/>
            </w:tcBorders>
            <w:shd w:val="clear" w:color="auto" w:fill="C6D9F1"/>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第二十条第（八）项</w:t>
            </w:r>
          </w:p>
        </w:tc>
      </w:tr>
      <w:tr>
        <w:tblPrEx>
          <w:tblCellMar>
            <w:top w:w="0" w:type="dxa"/>
            <w:left w:w="108" w:type="dxa"/>
            <w:bottom w:w="0" w:type="dxa"/>
            <w:right w:w="108" w:type="dxa"/>
          </w:tblCellMar>
        </w:tblPrEx>
        <w:trPr>
          <w:trHeight w:val="270"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5388" w:type="dxa"/>
            <w:gridSpan w:val="3"/>
            <w:tcBorders>
              <w:top w:val="nil"/>
              <w:left w:val="nil"/>
              <w:bottom w:val="single" w:color="auto" w:sz="4" w:space="0"/>
              <w:right w:val="single" w:color="000000"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微软雅黑" w:hAnsi="微软雅黑" w:eastAsia="微软雅黑"/>
                <w:color w:val="000000"/>
                <w:sz w:val="18"/>
                <w:szCs w:val="18"/>
                <w:shd w:val="clear" w:color="auto" w:fill="EFEFEF"/>
              </w:rPr>
              <w:t>本年收费金额（单位：万元）</w:t>
            </w:r>
          </w:p>
        </w:tc>
      </w:tr>
      <w:tr>
        <w:tblPrEx>
          <w:tblCellMar>
            <w:top w:w="0" w:type="dxa"/>
            <w:left w:w="108" w:type="dxa"/>
            <w:bottom w:w="0" w:type="dxa"/>
            <w:right w:w="108" w:type="dxa"/>
          </w:tblCellMar>
        </w:tblPrEx>
        <w:trPr>
          <w:trHeight w:val="551" w:hRule="atLeast"/>
          <w:jc w:val="center"/>
        </w:trPr>
        <w:tc>
          <w:tcPr>
            <w:tcW w:w="2752" w:type="dxa"/>
            <w:tcBorders>
              <w:top w:val="nil"/>
              <w:left w:val="single" w:color="auto" w:sz="4" w:space="0"/>
              <w:bottom w:val="single" w:color="auto" w:sz="4" w:space="0"/>
              <w:right w:val="single" w:color="auto" w:sz="4" w:space="0"/>
            </w:tcBorders>
            <w:noWrap/>
            <w:vAlign w:val="center"/>
          </w:tcPr>
          <w:p>
            <w:pPr>
              <w:widowControl/>
              <w:spacing w:before="100" w:beforeAutospacing="1" w:after="100" w:afterAutospacing="1"/>
              <w:jc w:val="left"/>
              <w:rPr>
                <w:rFonts w:ascii="宋体" w:hAnsi="宋体" w:eastAsia="宋体" w:cs="宋体"/>
                <w:kern w:val="0"/>
                <w:sz w:val="24"/>
                <w:szCs w:val="24"/>
              </w:rPr>
            </w:pPr>
            <w:r>
              <w:rPr>
                <w:rFonts w:hint="eastAsia" w:ascii="宋体" w:hAnsi="宋体" w:eastAsia="宋体" w:cs="宋体"/>
                <w:color w:val="000000"/>
                <w:kern w:val="0"/>
                <w:sz w:val="20"/>
                <w:szCs w:val="20"/>
              </w:rPr>
              <w:t>行政事业性收费</w:t>
            </w:r>
          </w:p>
        </w:tc>
        <w:tc>
          <w:tcPr>
            <w:tcW w:w="5388" w:type="dxa"/>
            <w:gridSpan w:val="3"/>
            <w:tcBorders>
              <w:top w:val="nil"/>
              <w:left w:val="nil"/>
              <w:bottom w:val="single" w:color="auto" w:sz="4" w:space="0"/>
              <w:right w:val="single" w:color="000000" w:sz="4" w:space="0"/>
            </w:tcBorders>
            <w:noWrap/>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0.00</w:t>
            </w:r>
          </w:p>
        </w:tc>
      </w:tr>
    </w:tbl>
    <w:p>
      <w:pPr>
        <w:widowControl/>
        <w:rPr>
          <w:rFonts w:ascii="宋体" w:hAnsi="宋体" w:eastAsia="宋体" w:cs="宋体"/>
          <w:kern w:val="0"/>
          <w:sz w:val="24"/>
          <w:szCs w:val="24"/>
        </w:rPr>
      </w:pPr>
    </w:p>
    <w:p>
      <w:pPr>
        <w:widowControl/>
        <w:spacing w:after="240"/>
        <w:ind w:firstLine="480"/>
        <w:rPr>
          <w:rFonts w:ascii="宋体" w:hAnsi="宋体" w:eastAsia="宋体" w:cs="宋体"/>
          <w:kern w:val="0"/>
          <w:sz w:val="24"/>
          <w:szCs w:val="24"/>
        </w:rPr>
      </w:pPr>
      <w:r>
        <w:rPr>
          <w:rFonts w:hint="eastAsia" w:ascii="宋体" w:hAnsi="宋体" w:eastAsia="宋体" w:cs="宋体"/>
          <w:b/>
          <w:bCs/>
          <w:kern w:val="0"/>
          <w:sz w:val="24"/>
          <w:szCs w:val="24"/>
        </w:rPr>
        <w:t>三、收到和处理政府信息公开申请情况</w:t>
      </w:r>
    </w:p>
    <w:tbl>
      <w:tblPr>
        <w:tblStyle w:val="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855"/>
        <w:gridCol w:w="2130"/>
        <w:gridCol w:w="825"/>
        <w:gridCol w:w="765"/>
        <w:gridCol w:w="765"/>
        <w:gridCol w:w="825"/>
        <w:gridCol w:w="990"/>
        <w:gridCol w:w="720"/>
        <w:gridCol w:w="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9" w:type="dxa"/>
            <w:gridSpan w:val="3"/>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（本列数据的勾稽关系为：第一项加第二项之和，等于第三项加第四项之和）</w:t>
            </w:r>
          </w:p>
        </w:tc>
        <w:tc>
          <w:tcPr>
            <w:tcW w:w="5592" w:type="dxa"/>
            <w:gridSpan w:val="7"/>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申请人情况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9"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25"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自然人</w:t>
            </w:r>
          </w:p>
        </w:tc>
        <w:tc>
          <w:tcPr>
            <w:tcW w:w="4065" w:type="dxa"/>
            <w:gridSpan w:val="5"/>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法人或其他组织</w:t>
            </w:r>
          </w:p>
        </w:tc>
        <w:tc>
          <w:tcPr>
            <w:tcW w:w="702" w:type="dxa"/>
            <w:vMerge w:val="restart"/>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9"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2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商业企业</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科研机构</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社会公益组织</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法律服务机构</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其他</w:t>
            </w:r>
          </w:p>
        </w:tc>
        <w:tc>
          <w:tcPr>
            <w:tcW w:w="702"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79"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Calibri" w:hAnsi="Calibri" w:eastAsia="宋体" w:cs="Times New Roman"/>
                <w:sz w:val="20"/>
                <w:szCs w:val="20"/>
              </w:rPr>
              <w:t>一、本年新收政府信息公开申请数量</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9"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Calibri" w:hAnsi="Calibri" w:eastAsia="宋体" w:cs="Times New Roman"/>
                <w:sz w:val="20"/>
                <w:szCs w:val="20"/>
              </w:rPr>
              <w:t>二、上年结转政府信息公开申请数量</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restart"/>
            <w:tcBorders>
              <w:top w:val="nil"/>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三、本年度办理结果</w:t>
            </w:r>
          </w:p>
        </w:tc>
        <w:tc>
          <w:tcPr>
            <w:tcW w:w="2985" w:type="dxa"/>
            <w:gridSpan w:val="2"/>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（一）予以公开</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985" w:type="dxa"/>
            <w:gridSpan w:val="2"/>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（二）部分公开（区分处理的，只计这一情形，不计其他情形）</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（三）不予公开</w:t>
            </w: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1.属于国家秘密</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2.其他法律行政法规禁止公开</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3.危及“三安全一稳定”</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4.保护第三方合法权益</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5.属于三类内部事务信息</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6.属于四类过程性信息</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7.属于行政执法案卷</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ascii="Calibri" w:hAnsi="Calibri" w:eastAsia="宋体" w:cs="Times New Roman"/>
                <w:sz w:val="20"/>
                <w:szCs w:val="20"/>
              </w:rPr>
              <w:t> </w:t>
            </w:r>
            <w:r>
              <w:rPr>
                <w:rFonts w:hint="eastAsia" w:ascii="Calibri" w:hAnsi="Calibri" w:eastAsia="宋体" w:cs="Times New Roman"/>
                <w:sz w:val="20"/>
                <w:szCs w:val="20"/>
                <w:lang w:val="en-US" w:eastAsia="zh-CN"/>
              </w:rPr>
              <w:t>1</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lang w:val="en-US" w:eastAsia="zh-CN"/>
              </w:rPr>
              <w:t>1</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8.属于行政查询事项</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（四）无法提供</w:t>
            </w: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1.本机关不掌握相关政府信息</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2.没有现成信息需要另行制作</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3.补正后申请内容仍不明确</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（五）不予处理</w:t>
            </w: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1.信访举报投诉类申请</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2.重复申请</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3.要求提供公开出版物</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4.无正当理由大量反复申请</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855" w:type="dxa"/>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3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5.要求行政机关确认或重新出具已获取信息</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985" w:type="dxa"/>
            <w:gridSpan w:val="2"/>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（六）其他处理</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lang w:val="en-US" w:eastAsia="zh-CN"/>
              </w:rPr>
              <w:t>2</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ascii="Calibri" w:hAnsi="Calibri" w:eastAsia="宋体" w:cs="Times New Roman"/>
                <w:sz w:val="20"/>
                <w:szCs w:val="20"/>
              </w:rPr>
              <w:t> </w:t>
            </w:r>
            <w:r>
              <w:rPr>
                <w:rFonts w:hint="eastAsia" w:ascii="Calibri" w:hAnsi="Calibri" w:eastAsia="宋体" w:cs="Times New Roman"/>
                <w:sz w:val="20"/>
                <w:szCs w:val="20"/>
                <w:lang w:val="en-US" w:eastAsia="zh-CN"/>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985" w:type="dxa"/>
            <w:gridSpan w:val="2"/>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楷体" w:hAnsi="楷体" w:eastAsia="楷体" w:cs="宋体"/>
                <w:sz w:val="20"/>
                <w:szCs w:val="20"/>
              </w:rPr>
              <w:t>（七）总计</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hint="eastAsia" w:ascii="宋体" w:hAnsi="宋体" w:eastAsia="宋体" w:cs="宋体"/>
                <w:kern w:val="0"/>
                <w:sz w:val="24"/>
                <w:szCs w:val="24"/>
                <w:lang w:val="en-US" w:eastAsia="zh-CN"/>
              </w:rPr>
            </w:pPr>
            <w:r>
              <w:rPr>
                <w:rFonts w:ascii="Calibri" w:hAnsi="Calibri" w:eastAsia="宋体" w:cs="Times New Roman"/>
                <w:sz w:val="20"/>
                <w:szCs w:val="20"/>
              </w:rPr>
              <w:t> </w:t>
            </w:r>
            <w:r>
              <w:rPr>
                <w:rFonts w:hint="eastAsia" w:ascii="Calibri" w:hAnsi="Calibri" w:eastAsia="宋体" w:cs="Times New Roman"/>
                <w:sz w:val="20"/>
                <w:szCs w:val="20"/>
                <w:lang w:val="en-US" w:eastAsia="zh-CN"/>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9"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left"/>
              <w:rPr>
                <w:rFonts w:ascii="宋体" w:hAnsi="宋体" w:eastAsia="宋体" w:cs="宋体"/>
                <w:kern w:val="0"/>
                <w:sz w:val="24"/>
                <w:szCs w:val="24"/>
              </w:rPr>
            </w:pPr>
            <w:r>
              <w:rPr>
                <w:rFonts w:hint="eastAsia" w:ascii="Calibri" w:hAnsi="Calibri" w:eastAsia="宋体" w:cs="Times New Roman"/>
                <w:sz w:val="20"/>
                <w:szCs w:val="20"/>
              </w:rPr>
              <w:t>四、结转下年度继续办理</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76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82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9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2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ascii="Calibri" w:hAnsi="Calibri" w:eastAsia="宋体" w:cs="Times New Roman"/>
                <w:sz w:val="20"/>
                <w:szCs w:val="20"/>
              </w:rPr>
              <w:t> </w:t>
            </w:r>
            <w:r>
              <w:rPr>
                <w:rFonts w:hint="eastAsia" w:ascii="Calibri" w:hAnsi="Calibri" w:eastAsia="宋体" w:cs="Times New Roman"/>
                <w:sz w:val="20"/>
                <w:szCs w:val="20"/>
              </w:rPr>
              <w:t>0</w:t>
            </w:r>
          </w:p>
        </w:tc>
        <w:tc>
          <w:tcPr>
            <w:tcW w:w="702"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p>
        </w:tc>
      </w:tr>
    </w:tbl>
    <w:p>
      <w:pPr>
        <w:widowControl/>
        <w:ind w:firstLine="480"/>
        <w:rPr>
          <w:rFonts w:ascii="宋体" w:hAnsi="宋体" w:eastAsia="宋体" w:cs="宋体"/>
          <w:kern w:val="0"/>
          <w:sz w:val="24"/>
          <w:szCs w:val="24"/>
        </w:rPr>
      </w:pPr>
    </w:p>
    <w:p>
      <w:pPr>
        <w:widowControl/>
        <w:ind w:firstLine="480"/>
        <w:rPr>
          <w:rFonts w:ascii="宋体" w:hAnsi="宋体" w:eastAsia="宋体" w:cs="宋体"/>
          <w:kern w:val="0"/>
          <w:sz w:val="24"/>
          <w:szCs w:val="24"/>
        </w:rPr>
      </w:pPr>
      <w:r>
        <w:rPr>
          <w:rFonts w:hint="eastAsia" w:ascii="宋体" w:hAnsi="宋体" w:eastAsia="宋体" w:cs="宋体"/>
          <w:b/>
          <w:bCs/>
          <w:kern w:val="0"/>
          <w:sz w:val="24"/>
          <w:szCs w:val="24"/>
        </w:rPr>
        <w:t>四、政府信息公开行政复议、行政诉讼情况</w:t>
      </w:r>
    </w:p>
    <w:p>
      <w:pPr>
        <w:widowControl/>
        <w:ind w:firstLine="480"/>
        <w:rPr>
          <w:rFonts w:ascii="宋体" w:hAnsi="宋体" w:eastAsia="宋体" w:cs="宋体"/>
          <w:kern w:val="0"/>
          <w:sz w:val="24"/>
          <w:szCs w:val="24"/>
        </w:rPr>
      </w:pPr>
    </w:p>
    <w:tbl>
      <w:tblPr>
        <w:tblStyle w:val="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4" w:type="dxa"/>
            <w:gridSpan w:val="5"/>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行政复议</w:t>
            </w:r>
          </w:p>
        </w:tc>
        <w:tc>
          <w:tcPr>
            <w:tcW w:w="5997" w:type="dxa"/>
            <w:gridSpan w:val="10"/>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dxa"/>
            <w:vMerge w:val="restart"/>
            <w:tcBorders>
              <w:top w:val="nil"/>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结果维持</w:t>
            </w:r>
          </w:p>
        </w:tc>
        <w:tc>
          <w:tcPr>
            <w:tcW w:w="604" w:type="dxa"/>
            <w:vMerge w:val="restart"/>
            <w:tcBorders>
              <w:top w:val="nil"/>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结果纠正</w:t>
            </w:r>
          </w:p>
        </w:tc>
        <w:tc>
          <w:tcPr>
            <w:tcW w:w="604" w:type="dxa"/>
            <w:vMerge w:val="restart"/>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其他结果</w:t>
            </w:r>
          </w:p>
        </w:tc>
        <w:tc>
          <w:tcPr>
            <w:tcW w:w="604" w:type="dxa"/>
            <w:vMerge w:val="restart"/>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尚未审结</w:t>
            </w:r>
          </w:p>
        </w:tc>
        <w:tc>
          <w:tcPr>
            <w:tcW w:w="658" w:type="dxa"/>
            <w:vMerge w:val="restart"/>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总计</w:t>
            </w:r>
          </w:p>
        </w:tc>
        <w:tc>
          <w:tcPr>
            <w:tcW w:w="2970" w:type="dxa"/>
            <w:gridSpan w:val="5"/>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未经复议直接起诉</w:t>
            </w:r>
          </w:p>
        </w:tc>
        <w:tc>
          <w:tcPr>
            <w:tcW w:w="3027" w:type="dxa"/>
            <w:gridSpan w:val="5"/>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55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结果维持</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结果纠正</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其他结果</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尚未审结</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总计</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结果维持</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结果纠正</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其他结果</w:t>
            </w:r>
          </w:p>
        </w:tc>
        <w:tc>
          <w:tcPr>
            <w:tcW w:w="60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尚未审结</w:t>
            </w:r>
          </w:p>
        </w:tc>
        <w:tc>
          <w:tcPr>
            <w:tcW w:w="60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0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60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60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60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658"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w:t>
            </w:r>
            <w:r>
              <w:rPr>
                <w:rFonts w:ascii="Calibri" w:hAnsi="Calibri" w:eastAsia="宋体" w:cs="Times New Roman"/>
                <w:sz w:val="20"/>
                <w:szCs w:val="20"/>
              </w:rPr>
              <w:t> </w:t>
            </w:r>
          </w:p>
        </w:tc>
        <w:tc>
          <w:tcPr>
            <w:tcW w:w="55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 0</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 0</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0 </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0 </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0 </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0 </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0 </w:t>
            </w:r>
          </w:p>
        </w:tc>
        <w:tc>
          <w:tcPr>
            <w:tcW w:w="605"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color w:val="000000"/>
                <w:kern w:val="0"/>
                <w:sz w:val="20"/>
                <w:szCs w:val="20"/>
              </w:rPr>
              <w:t>0 </w:t>
            </w:r>
          </w:p>
        </w:tc>
        <w:tc>
          <w:tcPr>
            <w:tcW w:w="60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宋体" w:hAnsi="宋体" w:eastAsia="宋体" w:cs="宋体"/>
                <w:kern w:val="0"/>
                <w:sz w:val="24"/>
                <w:szCs w:val="24"/>
              </w:rPr>
            </w:pPr>
            <w:r>
              <w:rPr>
                <w:rFonts w:hint="eastAsia" w:ascii="Calibri" w:hAnsi="Calibri" w:eastAsia="宋体" w:cs="Times New Roman"/>
                <w:sz w:val="20"/>
                <w:szCs w:val="20"/>
              </w:rPr>
              <w:t>0 </w:t>
            </w:r>
          </w:p>
        </w:tc>
        <w:tc>
          <w:tcPr>
            <w:tcW w:w="606" w:type="dxa"/>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0</w:t>
            </w:r>
          </w:p>
        </w:tc>
      </w:tr>
    </w:tbl>
    <w:p>
      <w:pPr>
        <w:widowControl/>
        <w:jc w:val="center"/>
        <w:rPr>
          <w:rFonts w:ascii="宋体" w:hAnsi="宋体" w:eastAsia="宋体" w:cs="宋体"/>
          <w:kern w:val="0"/>
          <w:sz w:val="24"/>
          <w:szCs w:val="24"/>
        </w:rPr>
      </w:pPr>
    </w:p>
    <w:p>
      <w:pPr>
        <w:widowControl/>
        <w:ind w:firstLine="480"/>
        <w:rPr>
          <w:rFonts w:ascii="宋体" w:hAnsi="宋体" w:eastAsia="宋体" w:cs="宋体"/>
          <w:kern w:val="0"/>
          <w:sz w:val="24"/>
          <w:szCs w:val="24"/>
        </w:rPr>
      </w:pPr>
      <w:r>
        <w:rPr>
          <w:rFonts w:hint="eastAsia" w:ascii="宋体" w:hAnsi="宋体" w:eastAsia="宋体" w:cs="宋体"/>
          <w:b/>
          <w:bCs/>
          <w:kern w:val="0"/>
          <w:sz w:val="24"/>
          <w:szCs w:val="24"/>
        </w:rPr>
        <w:t>五、存在的主要问题及改进情况</w:t>
      </w:r>
    </w:p>
    <w:p>
      <w:pPr>
        <w:widowControl/>
        <w:spacing w:line="52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区文化和旅游局政府信息公开工作还存在以下问题：一是工作机制有待进一步完善。二是沟通协调机制有待进一步加强。三是信息公开人员专业化水平有待进一步提升。</w:t>
      </w:r>
    </w:p>
    <w:p>
      <w:pPr>
        <w:widowControl/>
        <w:spacing w:line="520" w:lineRule="exact"/>
        <w:ind w:firstLine="480" w:firstLineChars="200"/>
        <w:rPr>
          <w:rFonts w:ascii="仿宋_GB2312" w:hAnsi="宋体" w:eastAsia="仿宋_GB2312" w:cs="宋体"/>
          <w:kern w:val="0"/>
          <w:sz w:val="28"/>
          <w:szCs w:val="28"/>
        </w:rPr>
      </w:pPr>
      <w:r>
        <w:rPr>
          <w:rFonts w:hint="eastAsia" w:ascii="宋体" w:hAnsi="宋体" w:eastAsia="宋体" w:cs="宋体"/>
          <w:kern w:val="0"/>
          <w:sz w:val="24"/>
          <w:szCs w:val="24"/>
        </w:rPr>
        <w:t>针对上述问题，徐汇区文化和旅游局进一步完善信息公开制度机制建设，加强人员培训，建立健全对内对外沟通协调机制，加强公开平台资源优化和整合，进一步优化信息公开流程，提升信息公开水平。</w:t>
      </w:r>
    </w:p>
    <w:p>
      <w:pPr>
        <w:widowControl/>
        <w:ind w:firstLine="480"/>
        <w:rPr>
          <w:rFonts w:ascii="宋体" w:hAnsi="宋体" w:eastAsia="宋体" w:cs="宋体"/>
          <w:kern w:val="0"/>
          <w:sz w:val="24"/>
          <w:szCs w:val="24"/>
        </w:rPr>
      </w:pPr>
    </w:p>
    <w:p>
      <w:pPr>
        <w:widowControl/>
        <w:ind w:firstLine="480"/>
        <w:rPr>
          <w:rFonts w:ascii="宋体" w:hAnsi="宋体" w:eastAsia="宋体" w:cs="宋体"/>
          <w:kern w:val="0"/>
          <w:sz w:val="24"/>
          <w:szCs w:val="24"/>
        </w:rPr>
      </w:pPr>
      <w:r>
        <w:rPr>
          <w:rFonts w:hint="eastAsia" w:ascii="宋体" w:hAnsi="宋体" w:eastAsia="宋体" w:cs="宋体"/>
          <w:b/>
          <w:bCs/>
          <w:kern w:val="0"/>
          <w:sz w:val="24"/>
          <w:szCs w:val="24"/>
        </w:rPr>
        <w:t>六、其他需要报告的事项</w:t>
      </w:r>
    </w:p>
    <w:p>
      <w:pPr>
        <w:widowControl/>
        <w:spacing w:line="520" w:lineRule="exact"/>
        <w:ind w:firstLine="480" w:firstLineChars="200"/>
        <w:rPr>
          <w:rFonts w:ascii="仿宋_GB2312" w:hAnsi="宋体" w:eastAsia="仿宋_GB2312" w:cs="宋体"/>
          <w:kern w:val="0"/>
          <w:sz w:val="28"/>
          <w:szCs w:val="28"/>
        </w:rPr>
      </w:pPr>
      <w:r>
        <w:rPr>
          <w:rFonts w:hint="eastAsia" w:ascii="宋体" w:hAnsi="宋体" w:eastAsia="宋体" w:cs="宋体"/>
          <w:kern w:val="0"/>
          <w:sz w:val="24"/>
          <w:szCs w:val="24"/>
        </w:rPr>
        <w:t>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旗黑">
    <w:panose1 w:val="00020600040101010101"/>
    <w:charset w:val="86"/>
    <w:family w:val="auto"/>
    <w:pitch w:val="default"/>
    <w:sig w:usb0="A00002BF" w:usb1="1ACF7CFA" w:usb2="00000016" w:usb3="00000000" w:csb0="0004009F" w:csb1="DFD7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202"/>
    <w:rsid w:val="00010BC8"/>
    <w:rsid w:val="00012731"/>
    <w:rsid w:val="00254CF7"/>
    <w:rsid w:val="003B1E20"/>
    <w:rsid w:val="004928AE"/>
    <w:rsid w:val="006A4C31"/>
    <w:rsid w:val="00710FF8"/>
    <w:rsid w:val="007D55F9"/>
    <w:rsid w:val="007E5202"/>
    <w:rsid w:val="008D1547"/>
    <w:rsid w:val="00AD7ACD"/>
    <w:rsid w:val="00AF7097"/>
    <w:rsid w:val="00B951BF"/>
    <w:rsid w:val="00C2190F"/>
    <w:rsid w:val="00C90623"/>
    <w:rsid w:val="00CA50C1"/>
    <w:rsid w:val="00CB20D9"/>
    <w:rsid w:val="00CD13FA"/>
    <w:rsid w:val="00CE7F21"/>
    <w:rsid w:val="00E52E7C"/>
    <w:rsid w:val="00EB6473"/>
    <w:rsid w:val="00F633F4"/>
    <w:rsid w:val="00FC06D9"/>
    <w:rsid w:val="09CC7F5E"/>
    <w:rsid w:val="1B204A07"/>
    <w:rsid w:val="2B6E708D"/>
    <w:rsid w:val="35EB50F7"/>
    <w:rsid w:val="36EB4202"/>
    <w:rsid w:val="396729D9"/>
    <w:rsid w:val="4D022D4A"/>
    <w:rsid w:val="53BFEC4F"/>
    <w:rsid w:val="589C531E"/>
    <w:rsid w:val="617D5B50"/>
    <w:rsid w:val="61DE58C1"/>
    <w:rsid w:val="62AF340C"/>
    <w:rsid w:val="65FFF0B4"/>
    <w:rsid w:val="6BC33B1B"/>
    <w:rsid w:val="73FC0109"/>
    <w:rsid w:val="79BC5914"/>
    <w:rsid w:val="9F7A20F6"/>
    <w:rsid w:val="AFDE3C04"/>
    <w:rsid w:val="DFF35F8F"/>
    <w:rsid w:val="EA6FA8A6"/>
    <w:rsid w:val="F8FE3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372</Words>
  <Characters>2125</Characters>
  <Lines>17</Lines>
  <Paragraphs>4</Paragraphs>
  <TotalTime>982</TotalTime>
  <ScaleCrop>false</ScaleCrop>
  <LinksUpToDate>false</LinksUpToDate>
  <CharactersWithSpaces>2493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2019-11-28T09:27:00Z</dcterms:created>
  <dc:creator>steven</dc:creator>
  <cp:lastModifiedBy>user</cp:lastModifiedBy>
  <dcterms:modified xsi:type="dcterms:W3CDTF">2025-01-24T11:30:27Z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4CC36E1F6D5A831601F5926722AC73BD_42</vt:lpwstr>
  </property>
</Properties>
</file>