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821820">
      <w:pPr>
        <w:keepNext w:val="0"/>
        <w:keepLines w:val="0"/>
        <w:pageBreakBefore w:val="0"/>
        <w:widowControl w:val="0"/>
        <w:kinsoku/>
        <w:wordWrap/>
        <w:overflowPunct/>
        <w:topLinePunct w:val="0"/>
        <w:autoSpaceDE/>
        <w:autoSpaceDN/>
        <w:bidi w:val="0"/>
        <w:snapToGrid w:val="0"/>
        <w:spacing w:line="480" w:lineRule="exact"/>
        <w:jc w:val="both"/>
        <w:textAlignment w:val="auto"/>
        <w:rPr>
          <w:rFonts w:hint="eastAsia" w:ascii="仿宋" w:hAnsi="仿宋"/>
          <w:b w:val="0"/>
          <w:bCs w:val="0"/>
          <w:color w:val="auto"/>
          <w:spacing w:val="-6"/>
          <w:szCs w:val="32"/>
          <w:highlight w:val="none"/>
          <w:lang w:val="en-US" w:eastAsia="zh-CN"/>
        </w:rPr>
      </w:pPr>
      <w:r>
        <w:rPr>
          <w:rFonts w:hint="eastAsia" w:ascii="仿宋" w:hAnsi="仿宋"/>
          <w:b w:val="0"/>
          <w:bCs w:val="0"/>
          <w:color w:val="auto"/>
          <w:spacing w:val="-6"/>
          <w:szCs w:val="32"/>
          <w:highlight w:val="none"/>
          <w:lang w:val="en-US" w:eastAsia="zh-CN"/>
        </w:rPr>
        <w:t>附件</w:t>
      </w:r>
    </w:p>
    <w:p w14:paraId="28DFF624">
      <w:pPr>
        <w:keepNext w:val="0"/>
        <w:keepLines w:val="0"/>
        <w:pageBreakBefore w:val="0"/>
        <w:widowControl w:val="0"/>
        <w:kinsoku/>
        <w:wordWrap/>
        <w:overflowPunct/>
        <w:topLinePunct w:val="0"/>
        <w:autoSpaceDE/>
        <w:autoSpaceDN/>
        <w:bidi w:val="0"/>
        <w:snapToGrid w:val="0"/>
        <w:spacing w:line="480" w:lineRule="exact"/>
        <w:jc w:val="both"/>
        <w:textAlignment w:val="auto"/>
        <w:rPr>
          <w:rFonts w:hint="eastAsia" w:ascii="仿宋" w:hAnsi="仿宋"/>
          <w:color w:val="auto"/>
          <w:spacing w:val="-6"/>
          <w:szCs w:val="32"/>
          <w:highlight w:val="none"/>
          <w:lang w:val="en-US" w:eastAsia="zh-CN"/>
        </w:rPr>
      </w:pPr>
      <w:bookmarkStart w:id="1" w:name="_GoBack"/>
      <w:bookmarkEnd w:id="1"/>
    </w:p>
    <w:p w14:paraId="406FAB28">
      <w:pPr>
        <w:snapToGrid w:val="0"/>
        <w:spacing w:line="500" w:lineRule="exact"/>
        <w:jc w:val="center"/>
        <w:rPr>
          <w:rFonts w:hint="eastAsia" w:ascii="黑体" w:hAnsi="黑体" w:eastAsia="黑体" w:cs="黑体"/>
          <w:b/>
          <w:bCs/>
          <w:sz w:val="40"/>
          <w:szCs w:val="40"/>
          <w:lang w:val="en-US" w:eastAsia="zh-CN"/>
        </w:rPr>
      </w:pPr>
      <w:r>
        <w:rPr>
          <w:rFonts w:hint="eastAsia" w:ascii="黑体" w:hAnsi="黑体" w:eastAsia="黑体" w:cs="黑体"/>
          <w:b/>
          <w:bCs/>
          <w:sz w:val="40"/>
          <w:szCs w:val="40"/>
          <w:lang w:val="en-US" w:eastAsia="zh-CN"/>
        </w:rPr>
        <w:t>徐汇区龙华西路123、125号地块旧城区改建  项目房屋征收与补偿方案</w:t>
      </w:r>
    </w:p>
    <w:p w14:paraId="691C5A1D">
      <w:pPr>
        <w:keepNext w:val="0"/>
        <w:keepLines w:val="0"/>
        <w:pageBreakBefore w:val="0"/>
        <w:widowControl w:val="0"/>
        <w:kinsoku/>
        <w:wordWrap/>
        <w:overflowPunct/>
        <w:topLinePunct w:val="0"/>
        <w:autoSpaceDE/>
        <w:autoSpaceDN/>
        <w:bidi w:val="0"/>
        <w:adjustRightInd/>
        <w:spacing w:line="500" w:lineRule="exact"/>
        <w:jc w:val="center"/>
        <w:textAlignment w:val="auto"/>
        <w:rPr>
          <w:rFonts w:hint="eastAsia" w:ascii="仿宋" w:hAnsi="仿宋" w:eastAsia="仿宋" w:cs="仿宋"/>
          <w:color w:val="auto"/>
          <w:sz w:val="28"/>
          <w:szCs w:val="28"/>
        </w:rPr>
      </w:pPr>
    </w:p>
    <w:p w14:paraId="0E9B5B71">
      <w:pPr>
        <w:keepNext w:val="0"/>
        <w:keepLines w:val="0"/>
        <w:pageBreakBefore w:val="0"/>
        <w:widowControl w:val="0"/>
        <w:kinsoku/>
        <w:wordWrap/>
        <w:overflowPunct/>
        <w:topLinePunct w:val="0"/>
        <w:autoSpaceDE/>
        <w:autoSpaceDN/>
        <w:bidi w:val="0"/>
        <w:adjustRightInd/>
        <w:spacing w:line="500" w:lineRule="exact"/>
        <w:jc w:val="center"/>
        <w:textAlignment w:val="auto"/>
        <w:rPr>
          <w:rFonts w:hint="eastAsia" w:ascii="仿宋" w:hAnsi="仿宋" w:eastAsia="仿宋" w:cs="仿宋"/>
          <w:color w:val="auto"/>
          <w:sz w:val="28"/>
          <w:szCs w:val="28"/>
        </w:rPr>
      </w:pPr>
    </w:p>
    <w:p w14:paraId="3C235755">
      <w:pPr>
        <w:keepNext w:val="0"/>
        <w:keepLines w:val="0"/>
        <w:pageBreakBefore w:val="0"/>
        <w:widowControl w:val="0"/>
        <w:kinsoku/>
        <w:wordWrap/>
        <w:overflowPunct/>
        <w:topLinePunct w:val="0"/>
        <w:autoSpaceDE/>
        <w:autoSpaceDN/>
        <w:bidi w:val="0"/>
        <w:adjustRightInd/>
        <w:spacing w:line="500" w:lineRule="exact"/>
        <w:jc w:val="center"/>
        <w:textAlignment w:val="auto"/>
        <w:rPr>
          <w:rFonts w:hint="eastAsia" w:ascii="仿宋" w:hAnsi="仿宋" w:eastAsia="仿宋" w:cs="仿宋"/>
          <w:color w:val="auto"/>
          <w:sz w:val="28"/>
          <w:szCs w:val="28"/>
        </w:rPr>
      </w:pPr>
    </w:p>
    <w:p w14:paraId="4E38982F">
      <w:pPr>
        <w:keepNext w:val="0"/>
        <w:keepLines w:val="0"/>
        <w:pageBreakBefore w:val="0"/>
        <w:widowControl w:val="0"/>
        <w:kinsoku/>
        <w:wordWrap/>
        <w:overflowPunct/>
        <w:topLinePunct w:val="0"/>
        <w:autoSpaceDE/>
        <w:autoSpaceDN/>
        <w:bidi w:val="0"/>
        <w:adjustRightInd/>
        <w:spacing w:line="500" w:lineRule="exact"/>
        <w:jc w:val="center"/>
        <w:textAlignment w:val="auto"/>
        <w:rPr>
          <w:rFonts w:hint="eastAsia" w:ascii="仿宋" w:hAnsi="仿宋" w:eastAsia="仿宋" w:cs="仿宋"/>
          <w:color w:val="auto"/>
          <w:sz w:val="28"/>
          <w:szCs w:val="28"/>
        </w:rPr>
      </w:pPr>
    </w:p>
    <w:p w14:paraId="488EC91D">
      <w:pPr>
        <w:keepNext w:val="0"/>
        <w:keepLines w:val="0"/>
        <w:pageBreakBefore w:val="0"/>
        <w:widowControl w:val="0"/>
        <w:kinsoku/>
        <w:wordWrap/>
        <w:overflowPunct/>
        <w:topLinePunct w:val="0"/>
        <w:autoSpaceDE/>
        <w:autoSpaceDN/>
        <w:bidi w:val="0"/>
        <w:adjustRightInd/>
        <w:spacing w:line="500" w:lineRule="exact"/>
        <w:jc w:val="center"/>
        <w:textAlignment w:val="auto"/>
        <w:rPr>
          <w:rFonts w:hint="eastAsia" w:ascii="仿宋" w:hAnsi="仿宋" w:eastAsia="仿宋" w:cs="仿宋"/>
          <w:color w:val="auto"/>
          <w:sz w:val="28"/>
          <w:szCs w:val="28"/>
        </w:rPr>
      </w:pPr>
    </w:p>
    <w:p w14:paraId="39872CA7">
      <w:pPr>
        <w:keepNext w:val="0"/>
        <w:keepLines w:val="0"/>
        <w:pageBreakBefore w:val="0"/>
        <w:widowControl w:val="0"/>
        <w:kinsoku/>
        <w:wordWrap/>
        <w:overflowPunct/>
        <w:topLinePunct w:val="0"/>
        <w:autoSpaceDE/>
        <w:autoSpaceDN/>
        <w:bidi w:val="0"/>
        <w:adjustRightInd/>
        <w:spacing w:line="500" w:lineRule="exact"/>
        <w:jc w:val="center"/>
        <w:textAlignment w:val="auto"/>
        <w:rPr>
          <w:rFonts w:hint="eastAsia" w:ascii="仿宋" w:hAnsi="仿宋" w:eastAsia="仿宋" w:cs="仿宋"/>
          <w:color w:val="auto"/>
          <w:sz w:val="28"/>
          <w:szCs w:val="28"/>
        </w:rPr>
      </w:pPr>
    </w:p>
    <w:p w14:paraId="7B314FDF">
      <w:pPr>
        <w:keepNext w:val="0"/>
        <w:keepLines w:val="0"/>
        <w:pageBreakBefore w:val="0"/>
        <w:widowControl w:val="0"/>
        <w:kinsoku/>
        <w:wordWrap/>
        <w:overflowPunct/>
        <w:topLinePunct w:val="0"/>
        <w:autoSpaceDE/>
        <w:autoSpaceDN/>
        <w:bidi w:val="0"/>
        <w:adjustRightInd/>
        <w:spacing w:line="500" w:lineRule="exact"/>
        <w:jc w:val="center"/>
        <w:textAlignment w:val="auto"/>
        <w:rPr>
          <w:rFonts w:hint="eastAsia" w:ascii="仿宋" w:hAnsi="仿宋" w:eastAsia="仿宋" w:cs="仿宋"/>
          <w:color w:val="auto"/>
          <w:sz w:val="28"/>
          <w:szCs w:val="28"/>
        </w:rPr>
      </w:pPr>
    </w:p>
    <w:p w14:paraId="6000A2BA">
      <w:pPr>
        <w:keepNext w:val="0"/>
        <w:keepLines w:val="0"/>
        <w:pageBreakBefore w:val="0"/>
        <w:widowControl w:val="0"/>
        <w:kinsoku/>
        <w:wordWrap/>
        <w:overflowPunct/>
        <w:topLinePunct w:val="0"/>
        <w:autoSpaceDE/>
        <w:autoSpaceDN/>
        <w:bidi w:val="0"/>
        <w:adjustRightInd/>
        <w:spacing w:line="500" w:lineRule="exact"/>
        <w:jc w:val="center"/>
        <w:textAlignment w:val="auto"/>
        <w:rPr>
          <w:rFonts w:hint="eastAsia" w:ascii="仿宋" w:hAnsi="仿宋" w:eastAsia="仿宋" w:cs="仿宋"/>
          <w:color w:val="auto"/>
          <w:sz w:val="28"/>
          <w:szCs w:val="28"/>
        </w:rPr>
      </w:pPr>
    </w:p>
    <w:p w14:paraId="378FA764">
      <w:pPr>
        <w:keepNext w:val="0"/>
        <w:keepLines w:val="0"/>
        <w:pageBreakBefore w:val="0"/>
        <w:widowControl w:val="0"/>
        <w:kinsoku/>
        <w:wordWrap/>
        <w:overflowPunct/>
        <w:topLinePunct w:val="0"/>
        <w:autoSpaceDE/>
        <w:autoSpaceDN/>
        <w:bidi w:val="0"/>
        <w:adjustRightInd/>
        <w:spacing w:line="500" w:lineRule="exact"/>
        <w:jc w:val="center"/>
        <w:textAlignment w:val="auto"/>
        <w:rPr>
          <w:rFonts w:hint="eastAsia" w:ascii="仿宋" w:hAnsi="仿宋" w:eastAsia="仿宋" w:cs="仿宋"/>
          <w:color w:val="auto"/>
          <w:sz w:val="28"/>
          <w:szCs w:val="28"/>
        </w:rPr>
      </w:pPr>
    </w:p>
    <w:p w14:paraId="742CBAD2">
      <w:pPr>
        <w:keepNext w:val="0"/>
        <w:keepLines w:val="0"/>
        <w:pageBreakBefore w:val="0"/>
        <w:widowControl w:val="0"/>
        <w:kinsoku/>
        <w:wordWrap/>
        <w:overflowPunct/>
        <w:topLinePunct w:val="0"/>
        <w:autoSpaceDE/>
        <w:autoSpaceDN/>
        <w:bidi w:val="0"/>
        <w:adjustRightInd/>
        <w:spacing w:line="500" w:lineRule="exact"/>
        <w:jc w:val="center"/>
        <w:textAlignment w:val="auto"/>
        <w:rPr>
          <w:rFonts w:hint="eastAsia" w:ascii="仿宋" w:hAnsi="仿宋" w:eastAsia="仿宋" w:cs="仿宋"/>
          <w:color w:val="auto"/>
          <w:sz w:val="28"/>
          <w:szCs w:val="28"/>
        </w:rPr>
      </w:pPr>
    </w:p>
    <w:p w14:paraId="3250784E">
      <w:pPr>
        <w:keepNext w:val="0"/>
        <w:keepLines w:val="0"/>
        <w:pageBreakBefore w:val="0"/>
        <w:widowControl w:val="0"/>
        <w:kinsoku/>
        <w:wordWrap/>
        <w:overflowPunct/>
        <w:topLinePunct w:val="0"/>
        <w:autoSpaceDE/>
        <w:autoSpaceDN/>
        <w:bidi w:val="0"/>
        <w:adjustRightInd/>
        <w:spacing w:line="500" w:lineRule="exact"/>
        <w:jc w:val="center"/>
        <w:textAlignment w:val="auto"/>
        <w:rPr>
          <w:rFonts w:hint="eastAsia" w:ascii="仿宋" w:hAnsi="仿宋" w:eastAsia="仿宋" w:cs="仿宋"/>
          <w:color w:val="auto"/>
          <w:sz w:val="28"/>
          <w:szCs w:val="28"/>
        </w:rPr>
      </w:pPr>
    </w:p>
    <w:p w14:paraId="00377C1A">
      <w:pPr>
        <w:keepNext w:val="0"/>
        <w:keepLines w:val="0"/>
        <w:pageBreakBefore w:val="0"/>
        <w:widowControl w:val="0"/>
        <w:kinsoku/>
        <w:wordWrap/>
        <w:overflowPunct/>
        <w:topLinePunct w:val="0"/>
        <w:autoSpaceDE/>
        <w:autoSpaceDN/>
        <w:bidi w:val="0"/>
        <w:adjustRightInd/>
        <w:spacing w:line="500" w:lineRule="exact"/>
        <w:jc w:val="center"/>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 xml:space="preserve"> </w:t>
      </w:r>
    </w:p>
    <w:p w14:paraId="23FEC563">
      <w:pPr>
        <w:keepNext w:val="0"/>
        <w:keepLines w:val="0"/>
        <w:pageBreakBefore w:val="0"/>
        <w:widowControl w:val="0"/>
        <w:kinsoku/>
        <w:wordWrap/>
        <w:overflowPunct/>
        <w:topLinePunct w:val="0"/>
        <w:autoSpaceDE/>
        <w:autoSpaceDN/>
        <w:bidi w:val="0"/>
        <w:adjustRightInd/>
        <w:spacing w:line="500" w:lineRule="exact"/>
        <w:jc w:val="center"/>
        <w:textAlignment w:val="auto"/>
        <w:rPr>
          <w:rFonts w:hint="eastAsia" w:ascii="仿宋" w:hAnsi="仿宋" w:eastAsia="仿宋" w:cs="仿宋"/>
          <w:color w:val="auto"/>
          <w:sz w:val="28"/>
          <w:szCs w:val="28"/>
        </w:rPr>
      </w:pPr>
    </w:p>
    <w:p w14:paraId="0BED922E">
      <w:pPr>
        <w:keepNext w:val="0"/>
        <w:keepLines w:val="0"/>
        <w:pageBreakBefore w:val="0"/>
        <w:widowControl w:val="0"/>
        <w:kinsoku/>
        <w:wordWrap/>
        <w:overflowPunct/>
        <w:topLinePunct w:val="0"/>
        <w:autoSpaceDE/>
        <w:autoSpaceDN/>
        <w:bidi w:val="0"/>
        <w:adjustRightInd/>
        <w:spacing w:line="500" w:lineRule="exact"/>
        <w:jc w:val="center"/>
        <w:textAlignment w:val="auto"/>
        <w:rPr>
          <w:rFonts w:hint="eastAsia" w:ascii="仿宋" w:hAnsi="仿宋" w:eastAsia="仿宋" w:cs="仿宋"/>
          <w:color w:val="auto"/>
          <w:sz w:val="28"/>
          <w:szCs w:val="28"/>
        </w:rPr>
      </w:pPr>
    </w:p>
    <w:p w14:paraId="016D2456">
      <w:pPr>
        <w:keepNext w:val="0"/>
        <w:keepLines w:val="0"/>
        <w:pageBreakBefore w:val="0"/>
        <w:widowControl w:val="0"/>
        <w:kinsoku/>
        <w:wordWrap/>
        <w:overflowPunct/>
        <w:topLinePunct w:val="0"/>
        <w:autoSpaceDE/>
        <w:autoSpaceDN/>
        <w:bidi w:val="0"/>
        <w:adjustRightInd/>
        <w:spacing w:line="500" w:lineRule="exact"/>
        <w:jc w:val="center"/>
        <w:textAlignment w:val="auto"/>
        <w:rPr>
          <w:rFonts w:hint="eastAsia" w:ascii="仿宋" w:hAnsi="仿宋" w:eastAsia="仿宋" w:cs="仿宋"/>
          <w:color w:val="auto"/>
          <w:sz w:val="28"/>
          <w:szCs w:val="28"/>
        </w:rPr>
      </w:pPr>
    </w:p>
    <w:p w14:paraId="25A40C80">
      <w:pPr>
        <w:keepNext w:val="0"/>
        <w:keepLines w:val="0"/>
        <w:pageBreakBefore w:val="0"/>
        <w:widowControl w:val="0"/>
        <w:kinsoku/>
        <w:wordWrap/>
        <w:overflowPunct/>
        <w:topLinePunct w:val="0"/>
        <w:autoSpaceDE/>
        <w:autoSpaceDN/>
        <w:bidi w:val="0"/>
        <w:adjustRightInd/>
        <w:spacing w:line="500" w:lineRule="exact"/>
        <w:jc w:val="center"/>
        <w:textAlignment w:val="auto"/>
        <w:rPr>
          <w:rFonts w:hint="eastAsia" w:ascii="仿宋" w:hAnsi="仿宋" w:eastAsia="仿宋" w:cs="仿宋"/>
          <w:color w:val="auto"/>
          <w:sz w:val="28"/>
          <w:szCs w:val="28"/>
        </w:rPr>
      </w:pPr>
    </w:p>
    <w:p w14:paraId="6E7B0937">
      <w:pPr>
        <w:keepNext w:val="0"/>
        <w:keepLines w:val="0"/>
        <w:pageBreakBefore w:val="0"/>
        <w:widowControl w:val="0"/>
        <w:kinsoku/>
        <w:wordWrap/>
        <w:overflowPunct/>
        <w:topLinePunct w:val="0"/>
        <w:autoSpaceDE/>
        <w:autoSpaceDN/>
        <w:bidi w:val="0"/>
        <w:adjustRightInd/>
        <w:spacing w:line="500" w:lineRule="exact"/>
        <w:jc w:val="center"/>
        <w:textAlignment w:val="auto"/>
        <w:rPr>
          <w:rFonts w:hint="eastAsia" w:ascii="仿宋" w:hAnsi="仿宋" w:eastAsia="仿宋" w:cs="仿宋"/>
          <w:color w:val="auto"/>
          <w:sz w:val="28"/>
          <w:szCs w:val="28"/>
        </w:rPr>
      </w:pPr>
    </w:p>
    <w:p w14:paraId="67ACBFE4">
      <w:pPr>
        <w:keepNext w:val="0"/>
        <w:keepLines w:val="0"/>
        <w:pageBreakBefore w:val="0"/>
        <w:widowControl w:val="0"/>
        <w:kinsoku/>
        <w:wordWrap/>
        <w:overflowPunct/>
        <w:topLinePunct w:val="0"/>
        <w:autoSpaceDE/>
        <w:autoSpaceDN/>
        <w:bidi w:val="0"/>
        <w:adjustRightInd/>
        <w:spacing w:line="500" w:lineRule="exact"/>
        <w:jc w:val="center"/>
        <w:textAlignment w:val="auto"/>
        <w:rPr>
          <w:rFonts w:hint="eastAsia" w:ascii="仿宋" w:hAnsi="仿宋" w:eastAsia="仿宋" w:cs="仿宋"/>
          <w:color w:val="auto"/>
          <w:sz w:val="28"/>
          <w:szCs w:val="28"/>
        </w:rPr>
      </w:pPr>
    </w:p>
    <w:p w14:paraId="622924A2">
      <w:pPr>
        <w:keepNext w:val="0"/>
        <w:keepLines w:val="0"/>
        <w:pageBreakBefore w:val="0"/>
        <w:widowControl w:val="0"/>
        <w:kinsoku/>
        <w:wordWrap/>
        <w:overflowPunct/>
        <w:topLinePunct w:val="0"/>
        <w:autoSpaceDE/>
        <w:autoSpaceDN/>
        <w:bidi w:val="0"/>
        <w:adjustRightInd/>
        <w:spacing w:line="500" w:lineRule="exact"/>
        <w:jc w:val="center"/>
        <w:textAlignment w:val="auto"/>
        <w:rPr>
          <w:rFonts w:hint="eastAsia" w:ascii="仿宋" w:hAnsi="仿宋" w:eastAsia="仿宋" w:cs="仿宋"/>
          <w:color w:val="auto"/>
          <w:sz w:val="28"/>
          <w:szCs w:val="28"/>
        </w:rPr>
      </w:pPr>
    </w:p>
    <w:p w14:paraId="12384C23">
      <w:pPr>
        <w:keepNext w:val="0"/>
        <w:keepLines w:val="0"/>
        <w:pageBreakBefore w:val="0"/>
        <w:widowControl w:val="0"/>
        <w:kinsoku/>
        <w:wordWrap/>
        <w:overflowPunct/>
        <w:topLinePunct w:val="0"/>
        <w:autoSpaceDE/>
        <w:autoSpaceDN/>
        <w:bidi w:val="0"/>
        <w:adjustRightInd/>
        <w:spacing w:line="500" w:lineRule="exact"/>
        <w:jc w:val="center"/>
        <w:textAlignment w:val="auto"/>
        <w:rPr>
          <w:rFonts w:hint="eastAsia" w:ascii="仿宋" w:hAnsi="仿宋" w:eastAsia="仿宋" w:cs="仿宋"/>
          <w:b/>
          <w:color w:val="auto"/>
          <w:sz w:val="28"/>
          <w:szCs w:val="28"/>
        </w:rPr>
      </w:pPr>
    </w:p>
    <w:p w14:paraId="2726B61E">
      <w:pPr>
        <w:spacing w:line="500" w:lineRule="exact"/>
        <w:jc w:val="center"/>
        <w:rPr>
          <w:rFonts w:hint="eastAsia" w:ascii="黑体" w:hAnsi="黑体" w:eastAsia="黑体" w:cs="黑体"/>
          <w:szCs w:val="32"/>
        </w:rPr>
      </w:pPr>
      <w:r>
        <w:rPr>
          <w:rFonts w:hint="eastAsia" w:ascii="黑体" w:hAnsi="黑体" w:eastAsia="黑体" w:cs="黑体"/>
          <w:szCs w:val="32"/>
        </w:rPr>
        <w:t>房屋征收部门：上海市徐汇区住房保障和房屋管理局</w:t>
      </w:r>
    </w:p>
    <w:p w14:paraId="2D26DFBC">
      <w:pPr>
        <w:spacing w:line="500" w:lineRule="exact"/>
        <w:jc w:val="center"/>
        <w:rPr>
          <w:rFonts w:hint="eastAsia" w:ascii="黑体" w:hAnsi="黑体" w:eastAsia="黑体" w:cs="黑体"/>
          <w:szCs w:val="32"/>
        </w:rPr>
      </w:pPr>
      <w:r>
        <w:rPr>
          <w:rFonts w:hint="eastAsia" w:ascii="黑体" w:hAnsi="黑体" w:eastAsia="黑体" w:cs="黑体"/>
          <w:szCs w:val="32"/>
        </w:rPr>
        <w:t>实施单位：上海</w:t>
      </w:r>
      <w:r>
        <w:rPr>
          <w:rFonts w:hint="eastAsia" w:ascii="黑体" w:hAnsi="黑体" w:eastAsia="黑体" w:cs="黑体"/>
          <w:szCs w:val="32"/>
          <w:lang w:val="en-US" w:eastAsia="zh-CN"/>
        </w:rPr>
        <w:t>市</w:t>
      </w:r>
      <w:r>
        <w:rPr>
          <w:rFonts w:hint="eastAsia" w:ascii="黑体" w:hAnsi="黑体" w:eastAsia="黑体" w:cs="黑体"/>
          <w:szCs w:val="32"/>
        </w:rPr>
        <w:t>徐汇第</w:t>
      </w:r>
      <w:r>
        <w:rPr>
          <w:rFonts w:hint="eastAsia" w:ascii="黑体" w:hAnsi="黑体" w:eastAsia="黑体" w:cs="黑体"/>
          <w:szCs w:val="32"/>
          <w:lang w:val="en-US" w:eastAsia="zh-CN"/>
        </w:rPr>
        <w:t>一</w:t>
      </w:r>
      <w:r>
        <w:rPr>
          <w:rFonts w:hint="eastAsia" w:ascii="黑体" w:hAnsi="黑体" w:eastAsia="黑体" w:cs="黑体"/>
          <w:szCs w:val="32"/>
        </w:rPr>
        <w:t>房屋征收服务事务所有限公司</w:t>
      </w:r>
    </w:p>
    <w:p w14:paraId="21ABD6B5">
      <w:pPr>
        <w:spacing w:line="500" w:lineRule="exact"/>
        <w:jc w:val="center"/>
        <w:rPr>
          <w:rFonts w:hint="eastAsia" w:ascii="黑体" w:hAnsi="黑体" w:eastAsia="黑体" w:cs="黑体"/>
          <w:szCs w:val="32"/>
          <w:lang w:val="en-US" w:eastAsia="zh-CN"/>
        </w:rPr>
        <w:sectPr>
          <w:pgSz w:w="11906" w:h="16838"/>
          <w:pgMar w:top="1440" w:right="1800" w:bottom="1440" w:left="1800" w:header="851" w:footer="992" w:gutter="0"/>
          <w:cols w:space="720" w:num="1"/>
          <w:docGrid w:type="lines" w:linePitch="312" w:charSpace="0"/>
        </w:sectPr>
      </w:pPr>
      <w:r>
        <w:rPr>
          <w:rFonts w:hint="eastAsia" w:ascii="黑体" w:hAnsi="黑体" w:eastAsia="黑体" w:cs="黑体"/>
          <w:szCs w:val="32"/>
        </w:rPr>
        <w:t>202</w:t>
      </w:r>
      <w:r>
        <w:rPr>
          <w:rFonts w:hint="eastAsia" w:ascii="黑体" w:hAnsi="黑体" w:eastAsia="黑体" w:cs="黑体"/>
          <w:szCs w:val="32"/>
          <w:lang w:val="en-US" w:eastAsia="zh-CN"/>
        </w:rPr>
        <w:t>5</w:t>
      </w:r>
      <w:r>
        <w:rPr>
          <w:rFonts w:hint="eastAsia" w:ascii="黑体" w:hAnsi="黑体" w:eastAsia="黑体" w:cs="黑体"/>
          <w:szCs w:val="32"/>
        </w:rPr>
        <w:t>年</w:t>
      </w:r>
      <w:r>
        <w:rPr>
          <w:rFonts w:hint="eastAsia" w:ascii="黑体" w:hAnsi="黑体" w:eastAsia="黑体" w:cs="黑体"/>
          <w:szCs w:val="32"/>
          <w:lang w:val="en-US" w:eastAsia="zh-CN"/>
        </w:rPr>
        <w:t>6</w:t>
      </w:r>
      <w:r>
        <w:rPr>
          <w:rFonts w:hint="eastAsia" w:ascii="黑体" w:hAnsi="黑体" w:eastAsia="黑体" w:cs="黑体"/>
          <w:szCs w:val="32"/>
        </w:rPr>
        <w:t>月</w:t>
      </w:r>
      <w:r>
        <w:rPr>
          <w:rFonts w:hint="eastAsia" w:ascii="黑体" w:hAnsi="黑体" w:eastAsia="黑体" w:cs="黑体"/>
          <w:szCs w:val="32"/>
          <w:lang w:val="en-US" w:eastAsia="zh-CN"/>
        </w:rPr>
        <w:t>19日</w:t>
      </w:r>
    </w:p>
    <w:p w14:paraId="7F1ED387">
      <w:pPr>
        <w:keepNext w:val="0"/>
        <w:keepLines w:val="0"/>
        <w:pageBreakBefore w:val="0"/>
        <w:widowControl w:val="0"/>
        <w:kinsoku/>
        <w:wordWrap/>
        <w:overflowPunct/>
        <w:topLinePunct w:val="0"/>
        <w:autoSpaceDE/>
        <w:autoSpaceDN/>
        <w:bidi w:val="0"/>
        <w:snapToGrid w:val="0"/>
        <w:spacing w:line="480" w:lineRule="exact"/>
        <w:jc w:val="center"/>
        <w:textAlignment w:val="auto"/>
        <w:rPr>
          <w:rFonts w:hint="eastAsia" w:ascii="宋体" w:hAnsi="宋体" w:eastAsia="宋体" w:cs="宋体"/>
          <w:b/>
          <w:bCs/>
          <w:color w:val="auto"/>
          <w:sz w:val="36"/>
          <w:szCs w:val="36"/>
          <w:highlight w:val="none"/>
        </w:rPr>
      </w:pPr>
      <w:r>
        <w:rPr>
          <w:rFonts w:hint="eastAsia" w:ascii="宋体" w:hAnsi="宋体" w:eastAsia="宋体" w:cs="宋体"/>
          <w:b/>
          <w:bCs/>
          <w:color w:val="auto"/>
          <w:sz w:val="36"/>
          <w:szCs w:val="36"/>
          <w:highlight w:val="none"/>
        </w:rPr>
        <w:t>徐汇区龙华西路123、125号地块旧城区改建项目</w:t>
      </w:r>
    </w:p>
    <w:p w14:paraId="44691B6E">
      <w:pPr>
        <w:keepNext w:val="0"/>
        <w:keepLines w:val="0"/>
        <w:pageBreakBefore w:val="0"/>
        <w:widowControl w:val="0"/>
        <w:kinsoku/>
        <w:wordWrap/>
        <w:overflowPunct/>
        <w:topLinePunct w:val="0"/>
        <w:autoSpaceDE/>
        <w:autoSpaceDN/>
        <w:bidi w:val="0"/>
        <w:snapToGrid w:val="0"/>
        <w:spacing w:line="480" w:lineRule="exact"/>
        <w:jc w:val="center"/>
        <w:textAlignment w:val="auto"/>
        <w:rPr>
          <w:rFonts w:hint="eastAsia" w:ascii="宋体" w:hAnsi="宋体" w:eastAsia="宋体" w:cs="宋体"/>
          <w:b/>
          <w:bCs/>
          <w:color w:val="auto"/>
          <w:sz w:val="36"/>
          <w:szCs w:val="36"/>
          <w:highlight w:val="none"/>
        </w:rPr>
      </w:pPr>
      <w:r>
        <w:rPr>
          <w:rFonts w:hint="eastAsia" w:ascii="宋体" w:hAnsi="宋体" w:eastAsia="宋体" w:cs="宋体"/>
          <w:b/>
          <w:bCs/>
          <w:color w:val="auto"/>
          <w:sz w:val="36"/>
          <w:szCs w:val="36"/>
          <w:highlight w:val="none"/>
        </w:rPr>
        <w:t>房屋征收与补偿方案</w:t>
      </w:r>
    </w:p>
    <w:p w14:paraId="483C97ED">
      <w:pPr>
        <w:keepNext w:val="0"/>
        <w:keepLines w:val="0"/>
        <w:pageBreakBefore w:val="0"/>
        <w:widowControl w:val="0"/>
        <w:kinsoku/>
        <w:wordWrap/>
        <w:overflowPunct/>
        <w:topLinePunct w:val="0"/>
        <w:autoSpaceDE/>
        <w:autoSpaceDN/>
        <w:bidi w:val="0"/>
        <w:snapToGrid w:val="0"/>
        <w:spacing w:line="480" w:lineRule="exact"/>
        <w:ind w:firstLine="723" w:firstLineChars="200"/>
        <w:textAlignment w:val="auto"/>
        <w:rPr>
          <w:rFonts w:ascii="仿宋_GB2312" w:hAnsi="仿宋_GB2312" w:cs="仿宋_GB2312"/>
          <w:b/>
          <w:bCs/>
          <w:sz w:val="36"/>
          <w:szCs w:val="36"/>
        </w:rPr>
      </w:pPr>
    </w:p>
    <w:p w14:paraId="2B1D6CED">
      <w:pPr>
        <w:keepNext w:val="0"/>
        <w:keepLines w:val="0"/>
        <w:pageBreakBefore w:val="0"/>
        <w:widowControl w:val="0"/>
        <w:kinsoku/>
        <w:wordWrap/>
        <w:overflowPunct/>
        <w:topLinePunct w:val="0"/>
        <w:autoSpaceDE/>
        <w:autoSpaceDN/>
        <w:bidi w:val="0"/>
        <w:spacing w:line="480" w:lineRule="exact"/>
        <w:ind w:firstLine="640" w:firstLineChars="200"/>
        <w:textAlignment w:val="auto"/>
        <w:rPr>
          <w:rFonts w:hint="eastAsia" w:ascii="黑体" w:hAnsi="黑体" w:eastAsia="黑体"/>
          <w:bCs/>
          <w:color w:val="auto"/>
          <w:szCs w:val="32"/>
          <w:highlight w:val="none"/>
        </w:rPr>
      </w:pPr>
      <w:r>
        <w:rPr>
          <w:rFonts w:hint="eastAsia" w:ascii="黑体" w:hAnsi="黑体" w:eastAsia="黑体"/>
          <w:bCs/>
          <w:color w:val="auto"/>
          <w:szCs w:val="32"/>
          <w:highlight w:val="none"/>
        </w:rPr>
        <w:t>一、房屋征收与补偿的法律依据</w:t>
      </w:r>
    </w:p>
    <w:p w14:paraId="4A0D4135">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1.《国有土地上房屋征收与补偿条例》（国务院令第590号）；</w:t>
      </w:r>
    </w:p>
    <w:p w14:paraId="298C50E3">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2.《上海市国有土地上房屋征收与补偿实施细则》(2011年10月19日上海市人民政府令第71号公布，根据2024年4月2日上海市人民政府令第13号第一次修正，根据2025年1月8日上海市人民政府令第15号第二次修正，以下简称“71号令”)；</w:t>
      </w:r>
    </w:p>
    <w:p w14:paraId="1FBA8944">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3.《关于贯彻执行〈上海市国有土地上房屋征收与补偿实施细则〉若干具体问题的意见》（沪房管规范征〔2012〕9号）、上海市房屋管理局关于延长《关于贯彻执行〈上海市国有土地上房屋征收与补偿实施细则〉若干具体问题的意见》有效期的通知（沪房规范〔2021〕10号）；</w:t>
      </w:r>
    </w:p>
    <w:p w14:paraId="681F5A5A">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4.《国有土地上房屋征收评估办法》（建房〔2011〕77号）；</w:t>
      </w:r>
    </w:p>
    <w:p w14:paraId="74ABC979">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5.</w:t>
      </w:r>
      <w:r>
        <w:rPr>
          <w:rFonts w:hint="eastAsia" w:ascii="仿宋_GB2312" w:hAnsi="仿宋"/>
          <w:spacing w:val="-6"/>
          <w:szCs w:val="32"/>
          <w:lang w:eastAsia="zh-CN"/>
        </w:rPr>
        <w:t>《</w:t>
      </w:r>
      <w:r>
        <w:rPr>
          <w:rFonts w:hint="eastAsia" w:ascii="仿宋_GB2312" w:hAnsi="仿宋"/>
          <w:spacing w:val="-6"/>
          <w:szCs w:val="32"/>
        </w:rPr>
        <w:t>上海市国有土地上非居住房屋征收停产停业损失补偿办法</w:t>
      </w:r>
      <w:r>
        <w:rPr>
          <w:rFonts w:hint="eastAsia" w:ascii="仿宋_GB2312" w:hAnsi="仿宋"/>
          <w:spacing w:val="-6"/>
          <w:szCs w:val="32"/>
          <w:lang w:eastAsia="zh-CN"/>
        </w:rPr>
        <w:t>》（</w:t>
      </w:r>
      <w:r>
        <w:rPr>
          <w:rFonts w:hint="eastAsia" w:ascii="仿宋_GB2312" w:hAnsi="仿宋"/>
          <w:spacing w:val="-6"/>
          <w:szCs w:val="32"/>
        </w:rPr>
        <w:t>沪房规范〔2025〕2号</w:t>
      </w:r>
      <w:r>
        <w:rPr>
          <w:rFonts w:hint="eastAsia" w:ascii="仿宋_GB2312" w:hAnsi="仿宋"/>
          <w:spacing w:val="-6"/>
          <w:szCs w:val="32"/>
          <w:lang w:eastAsia="zh-CN"/>
        </w:rPr>
        <w:t>）</w:t>
      </w:r>
      <w:r>
        <w:rPr>
          <w:rFonts w:hint="eastAsia" w:ascii="仿宋" w:hAnsi="仿宋"/>
          <w:color w:val="auto"/>
          <w:spacing w:val="-6"/>
          <w:szCs w:val="32"/>
          <w:highlight w:val="none"/>
        </w:rPr>
        <w:t>；</w:t>
      </w:r>
    </w:p>
    <w:p w14:paraId="4B8833C3">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6.《关于贯彻执行〈上海市国有土地上房屋征收与补偿实施细则〉的若干意见》（沪房规范〔2022〕3号）；</w:t>
      </w:r>
    </w:p>
    <w:p w14:paraId="3B7AA4F3">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7.《关于职工住宅（新工房）3（3）类房屋建筑面积换算系数的批复》（沪房管征〔2014〕302号）；</w:t>
      </w:r>
    </w:p>
    <w:p w14:paraId="542C420B">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8.其他相关法规和规范性文件。</w:t>
      </w:r>
    </w:p>
    <w:p w14:paraId="7CFFFD7C">
      <w:pPr>
        <w:keepNext w:val="0"/>
        <w:keepLines w:val="0"/>
        <w:pageBreakBefore w:val="0"/>
        <w:widowControl w:val="0"/>
        <w:kinsoku/>
        <w:wordWrap/>
        <w:overflowPunct/>
        <w:topLinePunct w:val="0"/>
        <w:autoSpaceDE/>
        <w:autoSpaceDN/>
        <w:bidi w:val="0"/>
        <w:spacing w:line="480" w:lineRule="exact"/>
        <w:ind w:firstLine="640" w:firstLineChars="200"/>
        <w:textAlignment w:val="auto"/>
        <w:rPr>
          <w:rFonts w:hint="eastAsia" w:ascii="黑体" w:hAnsi="黑体" w:eastAsia="黑体"/>
          <w:bCs/>
          <w:color w:val="auto"/>
          <w:szCs w:val="32"/>
          <w:highlight w:val="none"/>
        </w:rPr>
      </w:pPr>
      <w:r>
        <w:rPr>
          <w:rFonts w:hint="eastAsia" w:ascii="黑体" w:hAnsi="黑体" w:eastAsia="黑体"/>
          <w:bCs/>
          <w:color w:val="auto"/>
          <w:szCs w:val="32"/>
          <w:highlight w:val="none"/>
        </w:rPr>
        <w:t>二、房屋征收的目的</w:t>
      </w:r>
    </w:p>
    <w:p w14:paraId="24A6ABA7">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ascii="仿宋_GB2312" w:hAnsi="仿宋"/>
          <w:spacing w:val="-6"/>
          <w:szCs w:val="32"/>
        </w:rPr>
      </w:pPr>
      <w:r>
        <w:rPr>
          <w:rFonts w:hint="eastAsia" w:ascii="仿宋" w:hAnsi="仿宋"/>
          <w:color w:val="auto"/>
          <w:spacing w:val="-6"/>
          <w:szCs w:val="32"/>
          <w:highlight w:val="none"/>
        </w:rPr>
        <w:t>为加快推进旧城区改建，改善居民的居住条件和环境，对龙华西路123、125号地块旧城区改建进行房屋征收。涉及国有土地使用权收回的，按照相关规定执行。</w:t>
      </w:r>
    </w:p>
    <w:p w14:paraId="50B9AE64">
      <w:pPr>
        <w:keepNext w:val="0"/>
        <w:keepLines w:val="0"/>
        <w:pageBreakBefore w:val="0"/>
        <w:widowControl w:val="0"/>
        <w:kinsoku/>
        <w:wordWrap/>
        <w:overflowPunct/>
        <w:topLinePunct w:val="0"/>
        <w:autoSpaceDE/>
        <w:autoSpaceDN/>
        <w:bidi w:val="0"/>
        <w:spacing w:line="480" w:lineRule="exact"/>
        <w:ind w:firstLine="640" w:firstLineChars="200"/>
        <w:textAlignment w:val="auto"/>
        <w:rPr>
          <w:rFonts w:hint="eastAsia" w:ascii="黑体" w:hAnsi="黑体" w:eastAsia="黑体"/>
          <w:bCs/>
          <w:color w:val="auto"/>
          <w:szCs w:val="32"/>
          <w:highlight w:val="none"/>
        </w:rPr>
      </w:pPr>
      <w:r>
        <w:rPr>
          <w:rFonts w:hint="eastAsia" w:ascii="黑体" w:hAnsi="黑体" w:eastAsia="黑体"/>
          <w:bCs/>
          <w:color w:val="auto"/>
          <w:szCs w:val="32"/>
          <w:highlight w:val="none"/>
        </w:rPr>
        <w:t>三、房屋征收的范围</w:t>
      </w:r>
    </w:p>
    <w:p w14:paraId="06C46C9A">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地块四至范围：东至龙华西路171街坊5丘、南至内部通道、西至龙华西路171街坊3/2丘、北至龙华西路171街坊3/1丘。</w:t>
      </w:r>
    </w:p>
    <w:p w14:paraId="618E6755">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房屋征收范围：龙华西路123号、125号。</w:t>
      </w:r>
    </w:p>
    <w:p w14:paraId="6F1C4D8B">
      <w:pPr>
        <w:keepNext w:val="0"/>
        <w:keepLines w:val="0"/>
        <w:pageBreakBefore w:val="0"/>
        <w:widowControl w:val="0"/>
        <w:kinsoku/>
        <w:wordWrap/>
        <w:overflowPunct/>
        <w:topLinePunct w:val="0"/>
        <w:autoSpaceDE/>
        <w:autoSpaceDN/>
        <w:bidi w:val="0"/>
        <w:spacing w:line="480" w:lineRule="exact"/>
        <w:ind w:firstLine="640" w:firstLineChars="200"/>
        <w:textAlignment w:val="auto"/>
        <w:rPr>
          <w:rFonts w:hint="eastAsia" w:ascii="黑体" w:hAnsi="黑体" w:eastAsia="黑体"/>
          <w:bCs/>
          <w:color w:val="auto"/>
          <w:szCs w:val="32"/>
          <w:highlight w:val="none"/>
        </w:rPr>
      </w:pPr>
      <w:r>
        <w:rPr>
          <w:rFonts w:hint="eastAsia" w:ascii="黑体" w:hAnsi="黑体" w:eastAsia="黑体"/>
          <w:bCs/>
          <w:color w:val="auto"/>
          <w:szCs w:val="32"/>
          <w:highlight w:val="none"/>
        </w:rPr>
        <w:t>四、征收与补偿计户标准</w:t>
      </w:r>
    </w:p>
    <w:p w14:paraId="76BBF200">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bookmarkStart w:id="0" w:name="OLE_LINK1"/>
      <w:r>
        <w:rPr>
          <w:rFonts w:hint="eastAsia" w:ascii="仿宋" w:hAnsi="仿宋"/>
          <w:color w:val="auto"/>
          <w:spacing w:val="-6"/>
          <w:szCs w:val="32"/>
          <w:highlight w:val="none"/>
        </w:rPr>
        <w:t>被征收人、公有房屋承租人以征收决定作出之日合法有效的房地产权证、租用公房凭证、公有非居住房屋租赁合同计户，按户进行补偿。</w:t>
      </w:r>
    </w:p>
    <w:p w14:paraId="2F7B6226">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被征收人以房地产权证所载明的所有人为准，公有房屋承租人以租用公房凭证、公有非居住房屋租赁合同所载明的承租人为准。</w:t>
      </w:r>
    </w:p>
    <w:bookmarkEnd w:id="0"/>
    <w:p w14:paraId="5294B104">
      <w:pPr>
        <w:keepNext w:val="0"/>
        <w:keepLines w:val="0"/>
        <w:pageBreakBefore w:val="0"/>
        <w:widowControl w:val="0"/>
        <w:kinsoku/>
        <w:wordWrap/>
        <w:overflowPunct/>
        <w:topLinePunct w:val="0"/>
        <w:autoSpaceDE/>
        <w:autoSpaceDN/>
        <w:bidi w:val="0"/>
        <w:spacing w:line="480" w:lineRule="exact"/>
        <w:ind w:firstLine="640" w:firstLineChars="200"/>
        <w:textAlignment w:val="auto"/>
        <w:rPr>
          <w:rFonts w:hint="eastAsia" w:ascii="黑体" w:hAnsi="黑体" w:eastAsia="黑体"/>
          <w:bCs/>
          <w:color w:val="auto"/>
          <w:szCs w:val="32"/>
          <w:highlight w:val="none"/>
        </w:rPr>
      </w:pPr>
      <w:r>
        <w:rPr>
          <w:rFonts w:hint="eastAsia" w:ascii="黑体" w:hAnsi="黑体" w:eastAsia="黑体"/>
          <w:bCs/>
          <w:color w:val="auto"/>
          <w:szCs w:val="32"/>
          <w:highlight w:val="none"/>
        </w:rPr>
        <w:t>五、被征收房屋类型、建筑面积的认定办法</w:t>
      </w:r>
    </w:p>
    <w:p w14:paraId="7929064F">
      <w:pPr>
        <w:keepNext w:val="0"/>
        <w:keepLines w:val="0"/>
        <w:pageBreakBefore w:val="0"/>
        <w:widowControl w:val="0"/>
        <w:kinsoku/>
        <w:wordWrap/>
        <w:overflowPunct/>
        <w:topLinePunct w:val="0"/>
        <w:autoSpaceDE/>
        <w:autoSpaceDN/>
        <w:bidi w:val="0"/>
        <w:snapToGrid w:val="0"/>
        <w:spacing w:line="480" w:lineRule="exact"/>
        <w:ind w:firstLine="619" w:firstLineChars="200"/>
        <w:textAlignment w:val="auto"/>
        <w:rPr>
          <w:rFonts w:hint="eastAsia" w:ascii="楷体" w:hAnsi="楷体" w:eastAsia="楷体" w:cs="仿宋"/>
          <w:b/>
          <w:color w:val="auto"/>
          <w:spacing w:val="-6"/>
          <w:szCs w:val="32"/>
          <w:highlight w:val="none"/>
        </w:rPr>
      </w:pPr>
      <w:r>
        <w:rPr>
          <w:rFonts w:hint="eastAsia" w:ascii="楷体" w:hAnsi="楷体" w:eastAsia="楷体" w:cs="仿宋"/>
          <w:b/>
          <w:color w:val="auto"/>
          <w:spacing w:val="-6"/>
          <w:szCs w:val="32"/>
          <w:highlight w:val="none"/>
        </w:rPr>
        <w:t>（一）房屋类型认定</w:t>
      </w:r>
    </w:p>
    <w:p w14:paraId="5CBDBA5A">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房屋类型根据《关于修订〈上海市房屋建筑类型分类表〉的通知》（沪房〔90〕规字发第518号）、《关于调整本市房屋建筑类型分类的通知》（沪房地资市〔2003〕141号），以房产产籍资料记载的房屋类型为准。</w:t>
      </w:r>
    </w:p>
    <w:p w14:paraId="37E2A8ED">
      <w:pPr>
        <w:keepNext w:val="0"/>
        <w:keepLines w:val="0"/>
        <w:pageBreakBefore w:val="0"/>
        <w:widowControl w:val="0"/>
        <w:kinsoku/>
        <w:wordWrap/>
        <w:overflowPunct/>
        <w:topLinePunct w:val="0"/>
        <w:autoSpaceDE/>
        <w:autoSpaceDN/>
        <w:bidi w:val="0"/>
        <w:snapToGrid w:val="0"/>
        <w:spacing w:line="480" w:lineRule="exact"/>
        <w:ind w:firstLine="619" w:firstLineChars="200"/>
        <w:textAlignment w:val="auto"/>
        <w:rPr>
          <w:rFonts w:hint="eastAsia" w:ascii="楷体" w:hAnsi="楷体" w:eastAsia="楷体" w:cs="仿宋"/>
          <w:b/>
          <w:color w:val="auto"/>
          <w:spacing w:val="-6"/>
          <w:szCs w:val="32"/>
          <w:highlight w:val="none"/>
        </w:rPr>
      </w:pPr>
      <w:r>
        <w:rPr>
          <w:rFonts w:hint="eastAsia" w:ascii="楷体" w:hAnsi="楷体" w:eastAsia="楷体" w:cs="仿宋"/>
          <w:b/>
          <w:color w:val="auto"/>
          <w:spacing w:val="-6"/>
          <w:szCs w:val="32"/>
          <w:highlight w:val="none"/>
        </w:rPr>
        <w:t>（二）房屋建筑面积的认定</w:t>
      </w:r>
    </w:p>
    <w:p w14:paraId="4964D7FE">
      <w:pPr>
        <w:keepNext w:val="0"/>
        <w:keepLines w:val="0"/>
        <w:pageBreakBefore w:val="0"/>
        <w:widowControl w:val="0"/>
        <w:kinsoku/>
        <w:wordWrap/>
        <w:overflowPunct/>
        <w:topLinePunct w:val="0"/>
        <w:autoSpaceDE/>
        <w:autoSpaceDN/>
        <w:bidi w:val="0"/>
        <w:adjustRightInd w:val="0"/>
        <w:snapToGrid w:val="0"/>
        <w:spacing w:line="480" w:lineRule="exact"/>
        <w:ind w:firstLine="619" w:firstLineChars="200"/>
        <w:textAlignment w:val="auto"/>
        <w:rPr>
          <w:rFonts w:hint="eastAsia" w:ascii="仿宋" w:hAnsi="仿宋"/>
          <w:b/>
          <w:bCs/>
          <w:color w:val="auto"/>
          <w:spacing w:val="-6"/>
          <w:szCs w:val="32"/>
          <w:highlight w:val="none"/>
        </w:rPr>
      </w:pPr>
      <w:r>
        <w:rPr>
          <w:rFonts w:hint="eastAsia" w:ascii="仿宋" w:hAnsi="仿宋"/>
          <w:b/>
          <w:bCs/>
          <w:color w:val="auto"/>
          <w:spacing w:val="-6"/>
          <w:szCs w:val="32"/>
          <w:highlight w:val="none"/>
        </w:rPr>
        <w:t>1.已登记的房屋建筑面积认定</w:t>
      </w:r>
    </w:p>
    <w:p w14:paraId="79140D43">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对于已经登记的房屋，其建筑面积，一般以房地产权证和房地产登记簿的记载为准；房地产权证和房地产登记簿的记载不一致的，除有证据证明房地产登记簿确有错误外，以房地产登记簿为准。</w:t>
      </w:r>
    </w:p>
    <w:p w14:paraId="1753EDCA">
      <w:pPr>
        <w:keepNext w:val="0"/>
        <w:keepLines w:val="0"/>
        <w:pageBreakBefore w:val="0"/>
        <w:widowControl w:val="0"/>
        <w:kinsoku/>
        <w:wordWrap/>
        <w:overflowPunct/>
        <w:topLinePunct w:val="0"/>
        <w:autoSpaceDE/>
        <w:autoSpaceDN/>
        <w:bidi w:val="0"/>
        <w:adjustRightInd w:val="0"/>
        <w:snapToGrid w:val="0"/>
        <w:spacing w:line="480" w:lineRule="exact"/>
        <w:ind w:firstLine="619" w:firstLineChars="200"/>
        <w:textAlignment w:val="auto"/>
        <w:rPr>
          <w:rFonts w:hint="eastAsia" w:ascii="仿宋" w:hAnsi="仿宋"/>
          <w:b/>
          <w:bCs/>
          <w:color w:val="auto"/>
          <w:spacing w:val="-6"/>
          <w:szCs w:val="32"/>
          <w:highlight w:val="none"/>
        </w:rPr>
      </w:pPr>
      <w:r>
        <w:rPr>
          <w:rFonts w:hint="eastAsia" w:ascii="仿宋" w:hAnsi="仿宋"/>
          <w:b/>
          <w:bCs/>
          <w:color w:val="auto"/>
          <w:spacing w:val="-6"/>
          <w:szCs w:val="32"/>
          <w:highlight w:val="none"/>
        </w:rPr>
        <w:t>2.未经登记的房屋建筑面积认定</w:t>
      </w:r>
    </w:p>
    <w:p w14:paraId="4CFA670F">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对于未经登记的房屋，区人民政府应当组织有关行政管理部门依法对征收范围内未经登记的建筑进行调查、认定和处理。对认定为合法建筑和未超过批准期限的临时建筑的，房屋征收部门应当给予补偿；对认定为违法建筑和超过批准期限的临时建筑的，不予补偿。</w:t>
      </w:r>
    </w:p>
    <w:p w14:paraId="09034BF5">
      <w:pPr>
        <w:keepNext w:val="0"/>
        <w:keepLines w:val="0"/>
        <w:pageBreakBefore w:val="0"/>
        <w:widowControl w:val="0"/>
        <w:kinsoku/>
        <w:wordWrap/>
        <w:overflowPunct/>
        <w:topLinePunct w:val="0"/>
        <w:autoSpaceDE/>
        <w:autoSpaceDN/>
        <w:bidi w:val="0"/>
        <w:adjustRightInd w:val="0"/>
        <w:snapToGrid w:val="0"/>
        <w:spacing w:line="480" w:lineRule="exact"/>
        <w:ind w:firstLine="619" w:firstLineChars="200"/>
        <w:textAlignment w:val="auto"/>
        <w:rPr>
          <w:rFonts w:hint="eastAsia" w:ascii="仿宋" w:hAnsi="仿宋"/>
          <w:b/>
          <w:bCs/>
          <w:color w:val="auto"/>
          <w:spacing w:val="-6"/>
          <w:szCs w:val="32"/>
          <w:highlight w:val="none"/>
        </w:rPr>
      </w:pPr>
      <w:r>
        <w:rPr>
          <w:rFonts w:hint="eastAsia" w:ascii="仿宋" w:hAnsi="仿宋"/>
          <w:b/>
          <w:bCs/>
          <w:color w:val="auto"/>
          <w:spacing w:val="-6"/>
          <w:szCs w:val="32"/>
          <w:highlight w:val="none"/>
        </w:rPr>
        <w:t>3.承租的公有居住房屋建筑面积认定</w:t>
      </w:r>
    </w:p>
    <w:p w14:paraId="2A180207">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承租的公有居住房屋，以租用公房凭证所记载的建筑面积为准；租用公房凭证记载的是居住面积的，按下表所列的换算系数计算建筑面积：</w:t>
      </w:r>
    </w:p>
    <w:tbl>
      <w:tblPr>
        <w:tblStyle w:val="6"/>
        <w:tblpPr w:leftFromText="180" w:rightFromText="180" w:vertAnchor="text" w:tblpXSpec="center" w:tblpY="1"/>
        <w:tblOverlap w:val="never"/>
        <w:tblW w:w="9908" w:type="dxa"/>
        <w:jc w:val="center"/>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Layout w:type="fixed"/>
        <w:tblCellMar>
          <w:top w:w="0" w:type="dxa"/>
          <w:left w:w="0" w:type="dxa"/>
          <w:bottom w:w="0" w:type="dxa"/>
          <w:right w:w="0" w:type="dxa"/>
        </w:tblCellMar>
      </w:tblPr>
      <w:tblGrid>
        <w:gridCol w:w="918"/>
        <w:gridCol w:w="918"/>
        <w:gridCol w:w="917"/>
        <w:gridCol w:w="917"/>
        <w:gridCol w:w="1101"/>
        <w:gridCol w:w="1101"/>
        <w:gridCol w:w="1101"/>
        <w:gridCol w:w="1101"/>
        <w:gridCol w:w="917"/>
        <w:gridCol w:w="917"/>
      </w:tblGrid>
      <w:tr w14:paraId="764D035E">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0" w:type="dxa"/>
            <w:left w:w="0" w:type="dxa"/>
            <w:bottom w:w="0" w:type="dxa"/>
            <w:right w:w="0" w:type="dxa"/>
          </w:tblCellMar>
        </w:tblPrEx>
        <w:trPr>
          <w:trHeight w:val="1990" w:hRule="atLeast"/>
          <w:jc w:val="center"/>
        </w:trPr>
        <w:tc>
          <w:tcPr>
            <w:tcW w:w="850"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31345A08">
            <w:pPr>
              <w:widowControl/>
              <w:adjustRightInd w:val="0"/>
              <w:snapToGrid w:val="0"/>
              <w:spacing w:line="400" w:lineRule="exact"/>
              <w:jc w:val="center"/>
              <w:rPr>
                <w:rFonts w:ascii="仿宋" w:hAnsi="仿宋" w:cs="仿宋"/>
                <w:color w:val="auto"/>
                <w:spacing w:val="-6"/>
                <w:szCs w:val="32"/>
                <w:highlight w:val="none"/>
              </w:rPr>
            </w:pPr>
            <w:r>
              <w:rPr>
                <w:rFonts w:hint="eastAsia" w:ascii="仿宋" w:hAnsi="仿宋" w:cs="仿宋"/>
                <w:color w:val="auto"/>
                <w:spacing w:val="-6"/>
                <w:szCs w:val="32"/>
                <w:highlight w:val="none"/>
              </w:rPr>
              <w:t>房屋</w:t>
            </w:r>
          </w:p>
          <w:p w14:paraId="145FE466">
            <w:pPr>
              <w:widowControl/>
              <w:adjustRightInd w:val="0"/>
              <w:snapToGrid w:val="0"/>
              <w:spacing w:line="400" w:lineRule="exact"/>
              <w:jc w:val="center"/>
              <w:rPr>
                <w:rFonts w:ascii="仿宋" w:hAnsi="仿宋" w:cs="仿宋"/>
                <w:color w:val="auto"/>
                <w:spacing w:val="-6"/>
                <w:szCs w:val="32"/>
                <w:highlight w:val="none"/>
              </w:rPr>
            </w:pPr>
            <w:r>
              <w:rPr>
                <w:rFonts w:hint="eastAsia" w:ascii="仿宋" w:hAnsi="仿宋" w:cs="仿宋"/>
                <w:color w:val="auto"/>
                <w:spacing w:val="-6"/>
                <w:szCs w:val="32"/>
                <w:highlight w:val="none"/>
              </w:rPr>
              <w:t>类型</w:t>
            </w:r>
          </w:p>
        </w:tc>
        <w:tc>
          <w:tcPr>
            <w:tcW w:w="850"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7186B3FE">
            <w:pPr>
              <w:widowControl/>
              <w:adjustRightInd w:val="0"/>
              <w:snapToGrid w:val="0"/>
              <w:spacing w:line="400" w:lineRule="exact"/>
              <w:jc w:val="center"/>
              <w:rPr>
                <w:rFonts w:ascii="仿宋" w:hAnsi="仿宋" w:cs="仿宋"/>
                <w:color w:val="auto"/>
                <w:spacing w:val="-6"/>
                <w:szCs w:val="32"/>
                <w:highlight w:val="none"/>
              </w:rPr>
            </w:pPr>
            <w:r>
              <w:rPr>
                <w:rFonts w:hint="eastAsia" w:ascii="仿宋" w:hAnsi="仿宋" w:cs="仿宋"/>
                <w:color w:val="auto"/>
                <w:spacing w:val="-6"/>
                <w:szCs w:val="32"/>
                <w:highlight w:val="none"/>
              </w:rPr>
              <w:t>公寓</w:t>
            </w:r>
          </w:p>
        </w:tc>
        <w:tc>
          <w:tcPr>
            <w:tcW w:w="850"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2CCBB0E0">
            <w:pPr>
              <w:widowControl/>
              <w:adjustRightInd w:val="0"/>
              <w:snapToGrid w:val="0"/>
              <w:spacing w:line="400" w:lineRule="exact"/>
              <w:jc w:val="center"/>
              <w:rPr>
                <w:rFonts w:ascii="仿宋" w:hAnsi="仿宋" w:cs="仿宋"/>
                <w:color w:val="auto"/>
                <w:spacing w:val="-6"/>
                <w:szCs w:val="32"/>
                <w:highlight w:val="none"/>
              </w:rPr>
            </w:pPr>
            <w:r>
              <w:rPr>
                <w:rFonts w:hint="eastAsia" w:ascii="仿宋" w:hAnsi="仿宋" w:cs="仿宋"/>
                <w:color w:val="auto"/>
                <w:spacing w:val="-6"/>
                <w:szCs w:val="32"/>
                <w:highlight w:val="none"/>
              </w:rPr>
              <w:t>独立住宅（花园住宅）</w:t>
            </w:r>
          </w:p>
        </w:tc>
        <w:tc>
          <w:tcPr>
            <w:tcW w:w="850"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2E899B3B">
            <w:pPr>
              <w:widowControl/>
              <w:adjustRightInd w:val="0"/>
              <w:snapToGrid w:val="0"/>
              <w:spacing w:line="400" w:lineRule="exact"/>
              <w:jc w:val="center"/>
              <w:rPr>
                <w:rFonts w:ascii="仿宋" w:hAnsi="仿宋" w:cs="仿宋"/>
                <w:color w:val="auto"/>
                <w:spacing w:val="-6"/>
                <w:szCs w:val="32"/>
                <w:highlight w:val="none"/>
              </w:rPr>
            </w:pPr>
            <w:r>
              <w:rPr>
                <w:rFonts w:hint="eastAsia" w:ascii="仿宋" w:hAnsi="仿宋" w:cs="仿宋"/>
                <w:color w:val="auto"/>
                <w:spacing w:val="-6"/>
                <w:szCs w:val="32"/>
                <w:highlight w:val="none"/>
              </w:rPr>
              <w:t>新里住宅</w:t>
            </w:r>
          </w:p>
        </w:tc>
        <w:tc>
          <w:tcPr>
            <w:tcW w:w="1020"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280C7399">
            <w:pPr>
              <w:widowControl/>
              <w:adjustRightInd w:val="0"/>
              <w:snapToGrid w:val="0"/>
              <w:spacing w:line="400" w:lineRule="exact"/>
              <w:jc w:val="center"/>
              <w:rPr>
                <w:rFonts w:ascii="仿宋" w:hAnsi="仿宋" w:cs="仿宋"/>
                <w:color w:val="auto"/>
                <w:spacing w:val="-6"/>
                <w:szCs w:val="32"/>
                <w:highlight w:val="none"/>
              </w:rPr>
            </w:pPr>
            <w:r>
              <w:rPr>
                <w:rFonts w:hint="eastAsia" w:ascii="仿宋" w:hAnsi="仿宋" w:cs="仿宋"/>
                <w:color w:val="auto"/>
                <w:spacing w:val="-6"/>
                <w:szCs w:val="32"/>
                <w:highlight w:val="none"/>
              </w:rPr>
              <w:t>新工房</w:t>
            </w:r>
          </w:p>
          <w:p w14:paraId="02FC2452">
            <w:pPr>
              <w:widowControl/>
              <w:adjustRightInd w:val="0"/>
              <w:snapToGrid w:val="0"/>
              <w:spacing w:line="400" w:lineRule="exact"/>
              <w:jc w:val="center"/>
              <w:rPr>
                <w:rFonts w:ascii="仿宋" w:hAnsi="仿宋" w:cs="仿宋"/>
                <w:color w:val="auto"/>
                <w:spacing w:val="-6"/>
                <w:szCs w:val="32"/>
                <w:highlight w:val="none"/>
              </w:rPr>
            </w:pPr>
            <w:r>
              <w:rPr>
                <w:rFonts w:hint="eastAsia" w:ascii="仿宋" w:hAnsi="仿宋" w:cs="仿宋"/>
                <w:color w:val="auto"/>
                <w:spacing w:val="-6"/>
                <w:szCs w:val="32"/>
                <w:highlight w:val="none"/>
              </w:rPr>
              <w:t>（有电梯、成套）</w:t>
            </w:r>
          </w:p>
        </w:tc>
        <w:tc>
          <w:tcPr>
            <w:tcW w:w="1020"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6217A309">
            <w:pPr>
              <w:widowControl/>
              <w:adjustRightInd w:val="0"/>
              <w:snapToGrid w:val="0"/>
              <w:spacing w:line="400" w:lineRule="exact"/>
              <w:jc w:val="center"/>
              <w:rPr>
                <w:rFonts w:ascii="仿宋" w:hAnsi="仿宋" w:cs="仿宋"/>
                <w:color w:val="auto"/>
                <w:spacing w:val="-6"/>
                <w:szCs w:val="32"/>
                <w:highlight w:val="none"/>
              </w:rPr>
            </w:pPr>
            <w:r>
              <w:rPr>
                <w:rFonts w:hint="eastAsia" w:ascii="仿宋" w:hAnsi="仿宋" w:cs="仿宋"/>
                <w:color w:val="auto"/>
                <w:spacing w:val="-6"/>
                <w:szCs w:val="32"/>
                <w:highlight w:val="none"/>
              </w:rPr>
              <w:t>新工房</w:t>
            </w:r>
          </w:p>
          <w:p w14:paraId="4617B6C6">
            <w:pPr>
              <w:widowControl/>
              <w:adjustRightInd w:val="0"/>
              <w:snapToGrid w:val="0"/>
              <w:spacing w:line="400" w:lineRule="exact"/>
              <w:jc w:val="center"/>
              <w:rPr>
                <w:rFonts w:ascii="仿宋" w:hAnsi="仿宋" w:cs="仿宋"/>
                <w:color w:val="auto"/>
                <w:spacing w:val="-6"/>
                <w:szCs w:val="32"/>
                <w:highlight w:val="none"/>
              </w:rPr>
            </w:pPr>
            <w:r>
              <w:rPr>
                <w:rFonts w:hint="eastAsia" w:ascii="仿宋" w:hAnsi="仿宋" w:cs="仿宋"/>
                <w:color w:val="auto"/>
                <w:spacing w:val="-6"/>
                <w:szCs w:val="32"/>
                <w:highlight w:val="none"/>
              </w:rPr>
              <w:t>（无电梯、成套）</w:t>
            </w:r>
          </w:p>
        </w:tc>
        <w:tc>
          <w:tcPr>
            <w:tcW w:w="1020"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026BE7AF">
            <w:pPr>
              <w:widowControl/>
              <w:adjustRightInd w:val="0"/>
              <w:snapToGrid w:val="0"/>
              <w:spacing w:line="400" w:lineRule="exact"/>
              <w:jc w:val="center"/>
              <w:rPr>
                <w:rFonts w:ascii="仿宋" w:hAnsi="仿宋" w:cs="仿宋"/>
                <w:color w:val="auto"/>
                <w:spacing w:val="-6"/>
                <w:szCs w:val="32"/>
                <w:highlight w:val="none"/>
              </w:rPr>
            </w:pPr>
            <w:r>
              <w:rPr>
                <w:rFonts w:hint="eastAsia" w:ascii="仿宋" w:hAnsi="仿宋" w:cs="仿宋"/>
                <w:color w:val="auto"/>
                <w:spacing w:val="-6"/>
                <w:szCs w:val="32"/>
                <w:highlight w:val="none"/>
              </w:rPr>
              <w:t>新工房</w:t>
            </w:r>
          </w:p>
          <w:p w14:paraId="7907364F">
            <w:pPr>
              <w:widowControl/>
              <w:adjustRightInd w:val="0"/>
              <w:snapToGrid w:val="0"/>
              <w:spacing w:line="400" w:lineRule="exact"/>
              <w:jc w:val="center"/>
              <w:rPr>
                <w:rFonts w:ascii="仿宋" w:hAnsi="仿宋" w:cs="仿宋"/>
                <w:color w:val="auto"/>
                <w:spacing w:val="-6"/>
                <w:szCs w:val="32"/>
                <w:highlight w:val="none"/>
              </w:rPr>
            </w:pPr>
            <w:r>
              <w:rPr>
                <w:rFonts w:hint="eastAsia" w:ascii="仿宋" w:hAnsi="仿宋" w:cs="仿宋"/>
                <w:color w:val="auto"/>
                <w:spacing w:val="-6"/>
                <w:szCs w:val="32"/>
                <w:highlight w:val="none"/>
              </w:rPr>
              <w:t>（无电梯、不成套）</w:t>
            </w:r>
          </w:p>
        </w:tc>
        <w:tc>
          <w:tcPr>
            <w:tcW w:w="1020"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3B7D8D57">
            <w:pPr>
              <w:widowControl/>
              <w:adjustRightInd w:val="0"/>
              <w:snapToGrid w:val="0"/>
              <w:spacing w:line="400" w:lineRule="exact"/>
              <w:jc w:val="center"/>
              <w:rPr>
                <w:rFonts w:ascii="仿宋" w:hAnsi="仿宋" w:cs="仿宋"/>
                <w:color w:val="auto"/>
                <w:spacing w:val="-6"/>
                <w:szCs w:val="32"/>
                <w:highlight w:val="none"/>
              </w:rPr>
            </w:pPr>
            <w:r>
              <w:rPr>
                <w:rFonts w:hint="eastAsia" w:ascii="仿宋" w:hAnsi="仿宋" w:cs="仿宋"/>
                <w:color w:val="auto"/>
                <w:spacing w:val="-6"/>
                <w:szCs w:val="32"/>
                <w:highlight w:val="none"/>
              </w:rPr>
              <w:t>“两万户” 新工房</w:t>
            </w:r>
          </w:p>
        </w:tc>
        <w:tc>
          <w:tcPr>
            <w:tcW w:w="850"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45C772B7">
            <w:pPr>
              <w:widowControl/>
              <w:adjustRightInd w:val="0"/>
              <w:snapToGrid w:val="0"/>
              <w:spacing w:line="400" w:lineRule="exact"/>
              <w:jc w:val="center"/>
              <w:rPr>
                <w:rFonts w:ascii="仿宋" w:hAnsi="仿宋" w:cs="仿宋"/>
                <w:color w:val="auto"/>
                <w:spacing w:val="-6"/>
                <w:szCs w:val="32"/>
                <w:highlight w:val="none"/>
              </w:rPr>
            </w:pPr>
            <w:r>
              <w:rPr>
                <w:rFonts w:hint="eastAsia" w:ascii="仿宋" w:hAnsi="仿宋" w:cs="仿宋"/>
                <w:color w:val="auto"/>
                <w:spacing w:val="-6"/>
                <w:szCs w:val="32"/>
                <w:highlight w:val="none"/>
              </w:rPr>
              <w:t>旧里</w:t>
            </w:r>
          </w:p>
          <w:p w14:paraId="219A48E2">
            <w:pPr>
              <w:widowControl/>
              <w:adjustRightInd w:val="0"/>
              <w:snapToGrid w:val="0"/>
              <w:spacing w:line="400" w:lineRule="exact"/>
              <w:jc w:val="center"/>
              <w:rPr>
                <w:rFonts w:ascii="仿宋" w:hAnsi="仿宋" w:cs="仿宋"/>
                <w:color w:val="auto"/>
                <w:spacing w:val="-6"/>
                <w:szCs w:val="32"/>
                <w:highlight w:val="none"/>
              </w:rPr>
            </w:pPr>
            <w:r>
              <w:rPr>
                <w:rFonts w:hint="eastAsia" w:ascii="仿宋" w:hAnsi="仿宋" w:cs="仿宋"/>
                <w:color w:val="auto"/>
                <w:spacing w:val="-6"/>
                <w:szCs w:val="32"/>
                <w:highlight w:val="none"/>
              </w:rPr>
              <w:t>住宅</w:t>
            </w:r>
          </w:p>
        </w:tc>
        <w:tc>
          <w:tcPr>
            <w:tcW w:w="850"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257AABBD">
            <w:pPr>
              <w:widowControl/>
              <w:adjustRightInd w:val="0"/>
              <w:snapToGrid w:val="0"/>
              <w:spacing w:line="400" w:lineRule="exact"/>
              <w:jc w:val="center"/>
              <w:rPr>
                <w:rFonts w:ascii="仿宋" w:hAnsi="仿宋" w:cs="仿宋"/>
                <w:color w:val="auto"/>
                <w:spacing w:val="-6"/>
                <w:szCs w:val="32"/>
                <w:highlight w:val="none"/>
              </w:rPr>
            </w:pPr>
            <w:r>
              <w:rPr>
                <w:rFonts w:hint="eastAsia" w:ascii="仿宋" w:hAnsi="仿宋" w:cs="仿宋"/>
                <w:color w:val="auto"/>
                <w:spacing w:val="-6"/>
                <w:szCs w:val="32"/>
                <w:highlight w:val="none"/>
              </w:rPr>
              <w:t>简屋</w:t>
            </w:r>
          </w:p>
        </w:tc>
      </w:tr>
      <w:tr w14:paraId="640DE810">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0" w:type="dxa"/>
            <w:left w:w="0" w:type="dxa"/>
            <w:bottom w:w="0" w:type="dxa"/>
            <w:right w:w="0" w:type="dxa"/>
          </w:tblCellMar>
        </w:tblPrEx>
        <w:trPr>
          <w:trHeight w:val="846" w:hRule="atLeast"/>
          <w:jc w:val="center"/>
        </w:trPr>
        <w:tc>
          <w:tcPr>
            <w:tcW w:w="850" w:type="dxa"/>
            <w:tcBorders>
              <w:top w:val="nil"/>
              <w:left w:val="single" w:color="auto" w:sz="8" w:space="0"/>
              <w:bottom w:val="single" w:color="auto" w:sz="8" w:space="0"/>
              <w:right w:val="single" w:color="auto" w:sz="8" w:space="0"/>
            </w:tcBorders>
            <w:tcMar>
              <w:top w:w="0" w:type="dxa"/>
              <w:left w:w="108" w:type="dxa"/>
              <w:bottom w:w="0" w:type="dxa"/>
              <w:right w:w="108" w:type="dxa"/>
            </w:tcMar>
          </w:tcPr>
          <w:p w14:paraId="02F16A17">
            <w:pPr>
              <w:widowControl/>
              <w:adjustRightInd w:val="0"/>
              <w:snapToGrid w:val="0"/>
              <w:spacing w:line="400" w:lineRule="exact"/>
              <w:jc w:val="center"/>
              <w:rPr>
                <w:rFonts w:ascii="仿宋" w:hAnsi="仿宋" w:cs="仿宋"/>
                <w:color w:val="auto"/>
                <w:spacing w:val="-6"/>
                <w:szCs w:val="32"/>
                <w:highlight w:val="none"/>
              </w:rPr>
            </w:pPr>
            <w:r>
              <w:rPr>
                <w:rFonts w:hint="eastAsia" w:ascii="仿宋" w:hAnsi="仿宋" w:cs="仿宋"/>
                <w:color w:val="auto"/>
                <w:spacing w:val="-6"/>
                <w:szCs w:val="32"/>
                <w:highlight w:val="none"/>
              </w:rPr>
              <w:t>换算系数</w:t>
            </w:r>
          </w:p>
        </w:tc>
        <w:tc>
          <w:tcPr>
            <w:tcW w:w="850" w:type="dxa"/>
            <w:tcBorders>
              <w:top w:val="nil"/>
              <w:left w:val="nil"/>
              <w:bottom w:val="single" w:color="auto" w:sz="8" w:space="0"/>
              <w:right w:val="single" w:color="auto" w:sz="8" w:space="0"/>
            </w:tcBorders>
            <w:tcMar>
              <w:top w:w="0" w:type="dxa"/>
              <w:left w:w="108" w:type="dxa"/>
              <w:bottom w:w="0" w:type="dxa"/>
              <w:right w:w="108" w:type="dxa"/>
            </w:tcMar>
            <w:vAlign w:val="center"/>
          </w:tcPr>
          <w:p w14:paraId="670144C5">
            <w:pPr>
              <w:widowControl/>
              <w:adjustRightInd w:val="0"/>
              <w:snapToGrid w:val="0"/>
              <w:spacing w:line="400" w:lineRule="exact"/>
              <w:jc w:val="center"/>
              <w:rPr>
                <w:rFonts w:ascii="仿宋" w:hAnsi="仿宋" w:cs="仿宋"/>
                <w:color w:val="auto"/>
                <w:spacing w:val="-6"/>
                <w:szCs w:val="32"/>
                <w:highlight w:val="none"/>
              </w:rPr>
            </w:pPr>
            <w:r>
              <w:rPr>
                <w:rFonts w:hint="eastAsia" w:ascii="仿宋" w:hAnsi="仿宋" w:cs="仿宋"/>
                <w:color w:val="auto"/>
                <w:spacing w:val="-6"/>
                <w:szCs w:val="32"/>
                <w:highlight w:val="none"/>
              </w:rPr>
              <w:t>2.06</w:t>
            </w:r>
          </w:p>
        </w:tc>
        <w:tc>
          <w:tcPr>
            <w:tcW w:w="850" w:type="dxa"/>
            <w:tcBorders>
              <w:top w:val="nil"/>
              <w:left w:val="nil"/>
              <w:bottom w:val="single" w:color="auto" w:sz="8" w:space="0"/>
              <w:right w:val="single" w:color="auto" w:sz="8" w:space="0"/>
            </w:tcBorders>
            <w:tcMar>
              <w:top w:w="0" w:type="dxa"/>
              <w:left w:w="108" w:type="dxa"/>
              <w:bottom w:w="0" w:type="dxa"/>
              <w:right w:w="108" w:type="dxa"/>
            </w:tcMar>
            <w:vAlign w:val="center"/>
          </w:tcPr>
          <w:p w14:paraId="2531DBA7">
            <w:pPr>
              <w:widowControl/>
              <w:adjustRightInd w:val="0"/>
              <w:snapToGrid w:val="0"/>
              <w:spacing w:line="400" w:lineRule="exact"/>
              <w:jc w:val="center"/>
              <w:rPr>
                <w:rFonts w:ascii="仿宋" w:hAnsi="仿宋" w:cs="仿宋"/>
                <w:color w:val="auto"/>
                <w:spacing w:val="-6"/>
                <w:szCs w:val="32"/>
                <w:highlight w:val="none"/>
              </w:rPr>
            </w:pPr>
            <w:r>
              <w:rPr>
                <w:rFonts w:hint="eastAsia" w:ascii="仿宋" w:hAnsi="仿宋" w:cs="仿宋"/>
                <w:color w:val="auto"/>
                <w:spacing w:val="-6"/>
                <w:szCs w:val="32"/>
                <w:highlight w:val="none"/>
              </w:rPr>
              <w:t>1.83</w:t>
            </w:r>
          </w:p>
        </w:tc>
        <w:tc>
          <w:tcPr>
            <w:tcW w:w="850" w:type="dxa"/>
            <w:tcBorders>
              <w:top w:val="nil"/>
              <w:left w:val="nil"/>
              <w:bottom w:val="single" w:color="auto" w:sz="8" w:space="0"/>
              <w:right w:val="single" w:color="auto" w:sz="8" w:space="0"/>
            </w:tcBorders>
            <w:tcMar>
              <w:top w:w="0" w:type="dxa"/>
              <w:left w:w="108" w:type="dxa"/>
              <w:bottom w:w="0" w:type="dxa"/>
              <w:right w:w="108" w:type="dxa"/>
            </w:tcMar>
            <w:vAlign w:val="center"/>
          </w:tcPr>
          <w:p w14:paraId="2E8160A8">
            <w:pPr>
              <w:widowControl/>
              <w:adjustRightInd w:val="0"/>
              <w:snapToGrid w:val="0"/>
              <w:spacing w:line="400" w:lineRule="exact"/>
              <w:jc w:val="center"/>
              <w:rPr>
                <w:rFonts w:ascii="仿宋" w:hAnsi="仿宋" w:cs="仿宋"/>
                <w:color w:val="auto"/>
                <w:spacing w:val="-6"/>
                <w:szCs w:val="32"/>
                <w:highlight w:val="none"/>
              </w:rPr>
            </w:pPr>
            <w:r>
              <w:rPr>
                <w:rFonts w:hint="eastAsia" w:ascii="仿宋" w:hAnsi="仿宋" w:cs="仿宋"/>
                <w:color w:val="auto"/>
                <w:spacing w:val="-6"/>
                <w:szCs w:val="32"/>
                <w:highlight w:val="none"/>
              </w:rPr>
              <w:t>1.82</w:t>
            </w:r>
          </w:p>
        </w:tc>
        <w:tc>
          <w:tcPr>
            <w:tcW w:w="1020" w:type="dxa"/>
            <w:tcBorders>
              <w:top w:val="nil"/>
              <w:left w:val="nil"/>
              <w:bottom w:val="single" w:color="auto" w:sz="8" w:space="0"/>
              <w:right w:val="single" w:color="auto" w:sz="8" w:space="0"/>
            </w:tcBorders>
            <w:tcMar>
              <w:top w:w="0" w:type="dxa"/>
              <w:left w:w="108" w:type="dxa"/>
              <w:bottom w:w="0" w:type="dxa"/>
              <w:right w:w="108" w:type="dxa"/>
            </w:tcMar>
            <w:vAlign w:val="center"/>
          </w:tcPr>
          <w:p w14:paraId="43C33A4A">
            <w:pPr>
              <w:widowControl/>
              <w:adjustRightInd w:val="0"/>
              <w:snapToGrid w:val="0"/>
              <w:spacing w:line="400" w:lineRule="exact"/>
              <w:jc w:val="center"/>
              <w:rPr>
                <w:rFonts w:ascii="仿宋" w:hAnsi="仿宋" w:cs="仿宋"/>
                <w:color w:val="auto"/>
                <w:spacing w:val="-6"/>
                <w:szCs w:val="32"/>
                <w:highlight w:val="none"/>
              </w:rPr>
            </w:pPr>
            <w:r>
              <w:rPr>
                <w:rFonts w:hint="eastAsia" w:ascii="仿宋" w:hAnsi="仿宋" w:cs="仿宋"/>
                <w:color w:val="auto"/>
                <w:spacing w:val="-6"/>
                <w:szCs w:val="32"/>
                <w:highlight w:val="none"/>
              </w:rPr>
              <w:t>2.00</w:t>
            </w:r>
          </w:p>
        </w:tc>
        <w:tc>
          <w:tcPr>
            <w:tcW w:w="1020" w:type="dxa"/>
            <w:tcBorders>
              <w:top w:val="nil"/>
              <w:left w:val="nil"/>
              <w:bottom w:val="single" w:color="auto" w:sz="8" w:space="0"/>
              <w:right w:val="single" w:color="auto" w:sz="8" w:space="0"/>
            </w:tcBorders>
            <w:tcMar>
              <w:top w:w="0" w:type="dxa"/>
              <w:left w:w="108" w:type="dxa"/>
              <w:bottom w:w="0" w:type="dxa"/>
              <w:right w:w="108" w:type="dxa"/>
            </w:tcMar>
            <w:vAlign w:val="center"/>
          </w:tcPr>
          <w:p w14:paraId="2181B36D">
            <w:pPr>
              <w:widowControl/>
              <w:adjustRightInd w:val="0"/>
              <w:snapToGrid w:val="0"/>
              <w:spacing w:line="400" w:lineRule="exact"/>
              <w:jc w:val="center"/>
              <w:rPr>
                <w:rFonts w:ascii="仿宋" w:hAnsi="仿宋" w:cs="仿宋"/>
                <w:color w:val="auto"/>
                <w:spacing w:val="-6"/>
                <w:szCs w:val="32"/>
                <w:highlight w:val="none"/>
              </w:rPr>
            </w:pPr>
            <w:r>
              <w:rPr>
                <w:rFonts w:hint="eastAsia" w:ascii="仿宋" w:hAnsi="仿宋" w:cs="仿宋"/>
                <w:color w:val="auto"/>
                <w:spacing w:val="-6"/>
                <w:szCs w:val="32"/>
                <w:highlight w:val="none"/>
              </w:rPr>
              <w:t>1.98</w:t>
            </w:r>
          </w:p>
        </w:tc>
        <w:tc>
          <w:tcPr>
            <w:tcW w:w="1020" w:type="dxa"/>
            <w:tcBorders>
              <w:top w:val="nil"/>
              <w:left w:val="nil"/>
              <w:bottom w:val="single" w:color="auto" w:sz="8" w:space="0"/>
              <w:right w:val="single" w:color="auto" w:sz="8" w:space="0"/>
            </w:tcBorders>
            <w:tcMar>
              <w:top w:w="0" w:type="dxa"/>
              <w:left w:w="108" w:type="dxa"/>
              <w:bottom w:w="0" w:type="dxa"/>
              <w:right w:w="108" w:type="dxa"/>
            </w:tcMar>
            <w:vAlign w:val="center"/>
          </w:tcPr>
          <w:p w14:paraId="23B05B32">
            <w:pPr>
              <w:widowControl/>
              <w:adjustRightInd w:val="0"/>
              <w:snapToGrid w:val="0"/>
              <w:spacing w:line="400" w:lineRule="exact"/>
              <w:jc w:val="center"/>
              <w:rPr>
                <w:rFonts w:ascii="仿宋" w:hAnsi="仿宋" w:cs="仿宋"/>
                <w:color w:val="auto"/>
                <w:spacing w:val="-6"/>
                <w:szCs w:val="32"/>
                <w:highlight w:val="none"/>
              </w:rPr>
            </w:pPr>
            <w:r>
              <w:rPr>
                <w:rFonts w:hint="eastAsia" w:ascii="仿宋" w:hAnsi="仿宋" w:cs="仿宋"/>
                <w:color w:val="auto"/>
                <w:spacing w:val="-6"/>
                <w:szCs w:val="32"/>
                <w:highlight w:val="none"/>
              </w:rPr>
              <w:t>1.94</w:t>
            </w:r>
          </w:p>
        </w:tc>
        <w:tc>
          <w:tcPr>
            <w:tcW w:w="1020" w:type="dxa"/>
            <w:tcBorders>
              <w:top w:val="nil"/>
              <w:left w:val="nil"/>
              <w:bottom w:val="single" w:color="auto" w:sz="8" w:space="0"/>
              <w:right w:val="single" w:color="auto" w:sz="8" w:space="0"/>
            </w:tcBorders>
            <w:tcMar>
              <w:top w:w="0" w:type="dxa"/>
              <w:left w:w="108" w:type="dxa"/>
              <w:bottom w:w="0" w:type="dxa"/>
              <w:right w:w="108" w:type="dxa"/>
            </w:tcMar>
            <w:vAlign w:val="center"/>
          </w:tcPr>
          <w:p w14:paraId="7722FCB8">
            <w:pPr>
              <w:widowControl/>
              <w:adjustRightInd w:val="0"/>
              <w:snapToGrid w:val="0"/>
              <w:spacing w:line="400" w:lineRule="exact"/>
              <w:jc w:val="center"/>
              <w:rPr>
                <w:rFonts w:ascii="仿宋" w:hAnsi="仿宋" w:cs="仿宋"/>
                <w:color w:val="auto"/>
                <w:spacing w:val="-6"/>
                <w:szCs w:val="32"/>
                <w:highlight w:val="none"/>
              </w:rPr>
            </w:pPr>
            <w:r>
              <w:rPr>
                <w:rFonts w:hint="eastAsia" w:ascii="仿宋" w:hAnsi="仿宋" w:cs="仿宋"/>
                <w:color w:val="auto"/>
                <w:spacing w:val="-6"/>
                <w:szCs w:val="32"/>
                <w:highlight w:val="none"/>
              </w:rPr>
              <w:t>1.65</w:t>
            </w:r>
          </w:p>
        </w:tc>
        <w:tc>
          <w:tcPr>
            <w:tcW w:w="850" w:type="dxa"/>
            <w:tcBorders>
              <w:top w:val="nil"/>
              <w:left w:val="nil"/>
              <w:bottom w:val="single" w:color="auto" w:sz="8" w:space="0"/>
              <w:right w:val="single" w:color="auto" w:sz="8" w:space="0"/>
            </w:tcBorders>
            <w:tcMar>
              <w:top w:w="0" w:type="dxa"/>
              <w:left w:w="108" w:type="dxa"/>
              <w:bottom w:w="0" w:type="dxa"/>
              <w:right w:w="108" w:type="dxa"/>
            </w:tcMar>
            <w:vAlign w:val="center"/>
          </w:tcPr>
          <w:p w14:paraId="78D5422F">
            <w:pPr>
              <w:widowControl/>
              <w:adjustRightInd w:val="0"/>
              <w:snapToGrid w:val="0"/>
              <w:spacing w:line="400" w:lineRule="exact"/>
              <w:jc w:val="center"/>
              <w:rPr>
                <w:rFonts w:ascii="仿宋" w:hAnsi="仿宋" w:cs="仿宋"/>
                <w:color w:val="auto"/>
                <w:spacing w:val="-6"/>
                <w:szCs w:val="32"/>
                <w:highlight w:val="none"/>
              </w:rPr>
            </w:pPr>
            <w:r>
              <w:rPr>
                <w:rFonts w:hint="eastAsia" w:ascii="仿宋" w:hAnsi="仿宋" w:cs="仿宋"/>
                <w:color w:val="auto"/>
                <w:spacing w:val="-6"/>
                <w:szCs w:val="32"/>
                <w:highlight w:val="none"/>
              </w:rPr>
              <w:t>1.54</w:t>
            </w:r>
          </w:p>
        </w:tc>
        <w:tc>
          <w:tcPr>
            <w:tcW w:w="850" w:type="dxa"/>
            <w:tcBorders>
              <w:top w:val="nil"/>
              <w:left w:val="nil"/>
              <w:bottom w:val="single" w:color="auto" w:sz="8" w:space="0"/>
              <w:right w:val="single" w:color="auto" w:sz="8" w:space="0"/>
            </w:tcBorders>
            <w:tcMar>
              <w:top w:w="0" w:type="dxa"/>
              <w:left w:w="108" w:type="dxa"/>
              <w:bottom w:w="0" w:type="dxa"/>
              <w:right w:w="108" w:type="dxa"/>
            </w:tcMar>
            <w:vAlign w:val="center"/>
          </w:tcPr>
          <w:p w14:paraId="7859D95E">
            <w:pPr>
              <w:widowControl/>
              <w:adjustRightInd w:val="0"/>
              <w:snapToGrid w:val="0"/>
              <w:spacing w:line="400" w:lineRule="exact"/>
              <w:jc w:val="center"/>
              <w:rPr>
                <w:rFonts w:ascii="仿宋" w:hAnsi="仿宋" w:cs="仿宋"/>
                <w:color w:val="auto"/>
                <w:spacing w:val="-6"/>
                <w:szCs w:val="32"/>
                <w:highlight w:val="none"/>
              </w:rPr>
            </w:pPr>
            <w:r>
              <w:rPr>
                <w:rFonts w:hint="eastAsia" w:ascii="仿宋" w:hAnsi="仿宋" w:cs="仿宋"/>
                <w:color w:val="auto"/>
                <w:spacing w:val="-6"/>
                <w:szCs w:val="32"/>
                <w:highlight w:val="none"/>
              </w:rPr>
              <w:t>1.25</w:t>
            </w:r>
          </w:p>
        </w:tc>
      </w:tr>
    </w:tbl>
    <w:p w14:paraId="6994BB14">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职工住宅（新工房）3（3）类房屋（标准较低、小梁薄板结构、设备较差的及五十年代建造的“两万户”新工房均属此类），其居住面积换算为建筑面积的换算系数为1.65。</w:t>
      </w:r>
    </w:p>
    <w:p w14:paraId="5FC2C66F">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2001年11月1日前租用公房凭证中已记载，用于居住并已计算收取租金的阁楼，高度在1.2米至1.7米（含1.7米）的部分，按照实际居住面积的1/2及上款规定的换算系数计算建筑面积；1.7米以上部分，按照实际居住面积及上款规定的换算系数计算建筑面积。其他情形的阁楼，不计算建筑面积。</w:t>
      </w:r>
    </w:p>
    <w:p w14:paraId="2DE22A77">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租用公房凭证记载的独用的厨房（灶间）、备餐室、厕浴室、壁橱、箱子间、走道、晒台、阳台、天井、楼梯间等部位的面积不得作为换算建筑面积的基数，但单独调配作为居住部位使用的除外。</w:t>
      </w:r>
    </w:p>
    <w:p w14:paraId="20EA06B2">
      <w:pPr>
        <w:keepNext w:val="0"/>
        <w:keepLines w:val="0"/>
        <w:pageBreakBefore w:val="0"/>
        <w:widowControl w:val="0"/>
        <w:kinsoku/>
        <w:overflowPunct/>
        <w:topLinePunct w:val="0"/>
        <w:autoSpaceDE/>
        <w:autoSpaceDN/>
        <w:bidi w:val="0"/>
        <w:adjustRightInd w:val="0"/>
        <w:snapToGrid w:val="0"/>
        <w:spacing w:line="480" w:lineRule="exact"/>
        <w:ind w:firstLine="619" w:firstLineChars="200"/>
        <w:textAlignment w:val="auto"/>
        <w:rPr>
          <w:rFonts w:hint="eastAsia" w:ascii="仿宋" w:hAnsi="仿宋"/>
          <w:b/>
          <w:bCs/>
          <w:color w:val="auto"/>
          <w:spacing w:val="-6"/>
          <w:szCs w:val="32"/>
          <w:highlight w:val="none"/>
        </w:rPr>
      </w:pPr>
      <w:r>
        <w:rPr>
          <w:rFonts w:hint="eastAsia" w:ascii="仿宋" w:hAnsi="仿宋"/>
          <w:b/>
          <w:bCs/>
          <w:color w:val="auto"/>
          <w:spacing w:val="-6"/>
          <w:szCs w:val="32"/>
          <w:highlight w:val="none"/>
        </w:rPr>
        <w:t>4.承租的公有非居住房屋建筑面积认定</w:t>
      </w:r>
    </w:p>
    <w:p w14:paraId="2300FC7E">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承租的公有非居住房屋，以房屋租赁合同记载的建筑面积为准。</w:t>
      </w:r>
    </w:p>
    <w:p w14:paraId="3FB681AF">
      <w:pPr>
        <w:keepNext w:val="0"/>
        <w:keepLines w:val="0"/>
        <w:pageBreakBefore w:val="0"/>
        <w:widowControl w:val="0"/>
        <w:kinsoku/>
        <w:overflowPunct/>
        <w:topLinePunct w:val="0"/>
        <w:autoSpaceDE/>
        <w:autoSpaceDN/>
        <w:bidi w:val="0"/>
        <w:adjustRightInd w:val="0"/>
        <w:snapToGrid w:val="0"/>
        <w:spacing w:line="480" w:lineRule="exact"/>
        <w:ind w:firstLine="619" w:firstLineChars="200"/>
        <w:textAlignment w:val="auto"/>
        <w:rPr>
          <w:rFonts w:hint="eastAsia" w:ascii="仿宋" w:hAnsi="仿宋"/>
          <w:b/>
          <w:bCs/>
          <w:color w:val="auto"/>
          <w:spacing w:val="-6"/>
          <w:szCs w:val="32"/>
          <w:highlight w:val="none"/>
        </w:rPr>
      </w:pPr>
      <w:r>
        <w:rPr>
          <w:rFonts w:hint="eastAsia" w:ascii="仿宋" w:hAnsi="仿宋"/>
          <w:b/>
          <w:bCs/>
          <w:color w:val="auto"/>
          <w:spacing w:val="-6"/>
          <w:szCs w:val="32"/>
          <w:highlight w:val="none"/>
        </w:rPr>
        <w:t>5.2001年11月1日以前以居住房屋作为经营场所并领取营业执照的非居住建筑面积认定</w:t>
      </w:r>
    </w:p>
    <w:p w14:paraId="1CA876CC">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在2001年11月1日以前，已经以居住房屋作为经营场所并经工商部门核发营业执照的，根据下列情形认定非居住建筑面积：</w:t>
      </w:r>
    </w:p>
    <w:p w14:paraId="5600DC64">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（1）在相关申请和批准文件中有营业面积记载的，非居住部分建筑面积计算以相关文件记载为准，所记载的营业面积大于房屋建筑面积的，按房屋建筑面积计算；</w:t>
      </w:r>
    </w:p>
    <w:p w14:paraId="373872D7">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（2）在相关申请和批准文件中无营业面积记载但明确房屋经营部位的，由房屋行政管理部门认定的房屋调查机构对相关文件明确的实际经营部位进行现场丈量后认定非居住部分建筑面积；</w:t>
      </w:r>
    </w:p>
    <w:p w14:paraId="27665490">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3）经工商部门核发营业执照的非居住房屋，在相关申请和批准文件中无营业面积记载并未标明经营部位的，由房屋行政管理部门认定的房屋调查机构进行现场丈量，原则上按房屋底层实际经营部位认定非居住部分建筑面积。</w:t>
      </w:r>
    </w:p>
    <w:p w14:paraId="7A26E766">
      <w:pPr>
        <w:keepNext w:val="0"/>
        <w:keepLines w:val="0"/>
        <w:pageBreakBefore w:val="0"/>
        <w:widowControl w:val="0"/>
        <w:kinsoku/>
        <w:overflowPunct/>
        <w:topLinePunct w:val="0"/>
        <w:autoSpaceDE/>
        <w:autoSpaceDN/>
        <w:bidi w:val="0"/>
        <w:adjustRightInd w:val="0"/>
        <w:snapToGrid w:val="0"/>
        <w:spacing w:line="480" w:lineRule="exact"/>
        <w:ind w:firstLine="619" w:firstLineChars="200"/>
        <w:textAlignment w:val="auto"/>
        <w:rPr>
          <w:rFonts w:hint="eastAsia" w:ascii="仿宋" w:hAnsi="仿宋"/>
          <w:b/>
          <w:bCs/>
          <w:color w:val="auto"/>
          <w:spacing w:val="-6"/>
          <w:szCs w:val="32"/>
          <w:highlight w:val="none"/>
        </w:rPr>
      </w:pPr>
      <w:r>
        <w:rPr>
          <w:rFonts w:hint="eastAsia" w:ascii="仿宋" w:hAnsi="仿宋"/>
          <w:b/>
          <w:bCs/>
          <w:color w:val="auto"/>
          <w:spacing w:val="-6"/>
          <w:szCs w:val="32"/>
          <w:highlight w:val="none"/>
        </w:rPr>
        <w:t>6.公有居住和非居住兼用的房屋建筑面积的认定</w:t>
      </w:r>
    </w:p>
    <w:p w14:paraId="6BAE1A9A">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公有房屋因市或区（县）房屋行政管理部门批准部分居住部位改变为非居住用途，产生既有居住部分，又有非居住部分的，非居住部分建筑面积的认定以非居住房屋租赁合同或“居改非”审批文件记载的面积为准，居住部分面积按“居改非”前原始记载的居住面积乘以相应换算系数后，减去认定的非居住部分建筑面积，其剩余面积认定为居住部分的建筑面积。</w:t>
      </w:r>
    </w:p>
    <w:p w14:paraId="13DADE86">
      <w:pPr>
        <w:keepNext w:val="0"/>
        <w:keepLines w:val="0"/>
        <w:pageBreakBefore w:val="0"/>
        <w:widowControl w:val="0"/>
        <w:kinsoku/>
        <w:overflowPunct/>
        <w:topLinePunct w:val="0"/>
        <w:autoSpaceDE/>
        <w:autoSpaceDN/>
        <w:bidi w:val="0"/>
        <w:snapToGrid w:val="0"/>
        <w:spacing w:line="480" w:lineRule="exact"/>
        <w:ind w:firstLine="619" w:firstLineChars="200"/>
        <w:textAlignment w:val="auto"/>
        <w:rPr>
          <w:rFonts w:hint="eastAsia" w:ascii="楷体" w:hAnsi="楷体" w:eastAsia="楷体" w:cs="仿宋"/>
          <w:b/>
          <w:color w:val="auto"/>
          <w:spacing w:val="-6"/>
          <w:szCs w:val="32"/>
          <w:highlight w:val="none"/>
        </w:rPr>
      </w:pPr>
      <w:r>
        <w:rPr>
          <w:rFonts w:hint="eastAsia" w:ascii="楷体" w:hAnsi="楷体" w:eastAsia="楷体" w:cs="仿宋"/>
          <w:b/>
          <w:color w:val="auto"/>
          <w:spacing w:val="-6"/>
          <w:szCs w:val="32"/>
          <w:highlight w:val="none"/>
        </w:rPr>
        <w:t>（三）非居住房屋的认定</w:t>
      </w:r>
    </w:p>
    <w:p w14:paraId="3BB34A2A">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1.原始设计为非居住房屋，延续至房屋征收决定作出时仍作为非居住房屋使用的，应当认定为非居住房屋；</w:t>
      </w:r>
    </w:p>
    <w:p w14:paraId="3ABF819D">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2.公有房屋承租人与公有房屋出租人签订了公有非居住房屋租赁合同，建立了公有非居住房屋租赁关系的，可以认定为非居住房屋；</w:t>
      </w:r>
    </w:p>
    <w:p w14:paraId="5E95ECA4">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3.房地产权证和房地产登记簿记载的权利人为单位，可以认定为非居住房屋，但其房屋性质明确记载为居住或者实际用作职工或者职工家庭居住使用的除外；</w:t>
      </w:r>
    </w:p>
    <w:p w14:paraId="64B95E4C">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4.原始设计为居住房屋，经市或者区房屋行政管理部门批准居住房屋改变为非居住用途的，除有特别规定以外，可以认定为非居住房屋。但在2001年11月1日以前，已经以居住房屋作为经营场所并领取营业执照的，可以认定为非居住房屋；在2001年11月1日以后，以居住房屋作为经营场所并领取营业执照，未经市或者区房屋行政管理部门批准居住房屋改变为非居住用途的，不认定为非居住房屋。</w:t>
      </w:r>
    </w:p>
    <w:p w14:paraId="537A884F">
      <w:pPr>
        <w:keepNext w:val="0"/>
        <w:keepLines w:val="0"/>
        <w:pageBreakBefore w:val="0"/>
        <w:widowControl w:val="0"/>
        <w:kinsoku/>
        <w:overflowPunct/>
        <w:topLinePunct w:val="0"/>
        <w:autoSpaceDE/>
        <w:autoSpaceDN/>
        <w:bidi w:val="0"/>
        <w:spacing w:line="480" w:lineRule="exact"/>
        <w:ind w:firstLine="640" w:firstLineChars="200"/>
        <w:textAlignment w:val="auto"/>
        <w:rPr>
          <w:rFonts w:hint="eastAsia" w:ascii="黑体" w:hAnsi="黑体" w:eastAsia="黑体"/>
          <w:bCs/>
          <w:color w:val="auto"/>
          <w:szCs w:val="32"/>
          <w:highlight w:val="none"/>
        </w:rPr>
      </w:pPr>
      <w:r>
        <w:rPr>
          <w:rFonts w:hint="eastAsia" w:ascii="黑体" w:hAnsi="黑体" w:eastAsia="黑体"/>
          <w:bCs/>
          <w:color w:val="auto"/>
          <w:szCs w:val="32"/>
          <w:highlight w:val="none"/>
        </w:rPr>
        <w:t>六、房屋征收补偿方式</w:t>
      </w:r>
    </w:p>
    <w:p w14:paraId="2BD75595">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1.征收居住房屋或非居住房屋的，被征收人、公有房屋承租人可以选择货币补偿，也可以选择房屋产权调换。被征收人、公有房屋承租人选择房屋产权调换的，应与房屋征收部门计算、结清被征收房屋补偿金额与用于产权调换房屋价值的差价。</w:t>
      </w:r>
    </w:p>
    <w:p w14:paraId="372B5AC3">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2.征收居住和非居住兼用的房屋，被征收人、公有房屋承租人可以选择货币补偿，也可以选择房屋产权调换。</w:t>
      </w:r>
    </w:p>
    <w:p w14:paraId="0AAD28B5">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被征收人、公有房屋承租人选择货币补偿的，应当按照居住用建筑面积和非居住用建筑面积分别计算货币补偿款，合并后的货币补偿款为该房屋的补偿金额。</w:t>
      </w:r>
    </w:p>
    <w:p w14:paraId="77B13E12">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被征收人或者公有房屋承租人选择房屋产权调换的，应当按照上述合并后的货币补偿款，用居住房屋进行调换并结算差价；对提出居住困难申请的被征收人、公有房屋承租人，应当根据71号令第三十一条的规定，按照上述合并后的货币补偿款进行折算。</w:t>
      </w:r>
    </w:p>
    <w:p w14:paraId="0F651FFD">
      <w:pPr>
        <w:keepNext w:val="0"/>
        <w:keepLines w:val="0"/>
        <w:pageBreakBefore w:val="0"/>
        <w:widowControl w:val="0"/>
        <w:kinsoku/>
        <w:overflowPunct/>
        <w:topLinePunct w:val="0"/>
        <w:autoSpaceDE/>
        <w:autoSpaceDN/>
        <w:bidi w:val="0"/>
        <w:spacing w:line="480" w:lineRule="exact"/>
        <w:ind w:firstLine="640" w:firstLineChars="200"/>
        <w:textAlignment w:val="auto"/>
        <w:rPr>
          <w:rFonts w:hint="eastAsia" w:ascii="黑体" w:hAnsi="黑体" w:eastAsia="黑体"/>
          <w:bCs/>
          <w:color w:val="auto"/>
          <w:szCs w:val="32"/>
          <w:highlight w:val="none"/>
        </w:rPr>
      </w:pPr>
      <w:r>
        <w:rPr>
          <w:rFonts w:hint="eastAsia" w:ascii="黑体" w:hAnsi="黑体" w:eastAsia="黑体"/>
          <w:bCs/>
          <w:color w:val="auto"/>
          <w:szCs w:val="32"/>
          <w:highlight w:val="none"/>
        </w:rPr>
        <w:t>七、签约期限</w:t>
      </w:r>
    </w:p>
    <w:p w14:paraId="0280F869">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房屋征收决定作出后，被征收人、公有房屋承租人根据房屋征收补偿方案签订附生效条件的补偿协议。在签约期限内达到规定签约比例的，补偿协议生效；在签约期限内未达到规定签约比例的，征收决定终止执行。</w:t>
      </w:r>
    </w:p>
    <w:p w14:paraId="2590E911">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根据市、区相关规定，本地块房屋征收补偿协议生效条件为签约期限内签约比例达到90%。</w:t>
      </w:r>
    </w:p>
    <w:p w14:paraId="655CE917">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本地块房屋征收补偿签约期限为5日，具体时间另行公布。</w:t>
      </w:r>
    </w:p>
    <w:p w14:paraId="0B196E90">
      <w:pPr>
        <w:keepNext w:val="0"/>
        <w:keepLines w:val="0"/>
        <w:pageBreakBefore w:val="0"/>
        <w:widowControl w:val="0"/>
        <w:kinsoku/>
        <w:overflowPunct/>
        <w:topLinePunct w:val="0"/>
        <w:autoSpaceDE/>
        <w:autoSpaceDN/>
        <w:bidi w:val="0"/>
        <w:spacing w:line="480" w:lineRule="exact"/>
        <w:ind w:firstLine="640" w:firstLineChars="200"/>
        <w:textAlignment w:val="auto"/>
        <w:rPr>
          <w:rFonts w:hint="eastAsia" w:ascii="黑体" w:hAnsi="黑体" w:eastAsia="黑体"/>
          <w:bCs/>
          <w:color w:val="auto"/>
          <w:szCs w:val="32"/>
          <w:highlight w:val="none"/>
        </w:rPr>
      </w:pPr>
      <w:r>
        <w:rPr>
          <w:rFonts w:hint="eastAsia" w:ascii="黑体" w:hAnsi="黑体" w:eastAsia="黑体"/>
          <w:bCs/>
          <w:color w:val="auto"/>
          <w:szCs w:val="32"/>
          <w:highlight w:val="none"/>
        </w:rPr>
        <w:t>八、征收居住房屋的补偿、价格补贴计算标准</w:t>
      </w:r>
    </w:p>
    <w:p w14:paraId="13D61D47">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被征收居住房屋的补偿金额=评估价格+价格补贴，71号令有特别规定的，从其规定。</w:t>
      </w:r>
    </w:p>
    <w:p w14:paraId="0FAA667F">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评估价格=被征收房屋的房地产市场评估单价×被征收房屋的建筑面积。被征收房屋的房地产市场评估单价低于评估均价的，按评估均价计算。</w:t>
      </w:r>
    </w:p>
    <w:p w14:paraId="441FDE71">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评估均价=被征收范围内居住房屋评估总价÷居住房屋总建筑面积。评估均价标准，由房地产价格评估机构在评估后计算得出，由房屋征收部门在征收范围内公布。</w:t>
      </w:r>
    </w:p>
    <w:p w14:paraId="0FAAF03A">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价格补贴=被征收房屋评估均价×补贴系数×被征收房屋的建筑面积。本区补贴系数为0.3。</w:t>
      </w:r>
    </w:p>
    <w:p w14:paraId="2DCAC6CA">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被征收房屋属于旧式里弄房屋、简屋以及其他非成套独用居住房屋的，被征收房屋的补偿金额增加套型面积补贴。</w:t>
      </w:r>
    </w:p>
    <w:p w14:paraId="3D4D2877">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套型面积补贴=评估均价×补贴面积。套型面积补贴按照房屋征收决定作出之日合法有效的房地产权证、租用公房凭证计户补贴，每证补贴建筑面积15平方米。</w:t>
      </w:r>
    </w:p>
    <w:p w14:paraId="53B9AF3C">
      <w:pPr>
        <w:keepNext w:val="0"/>
        <w:keepLines w:val="0"/>
        <w:pageBreakBefore w:val="0"/>
        <w:widowControl w:val="0"/>
        <w:kinsoku/>
        <w:overflowPunct/>
        <w:topLinePunct w:val="0"/>
        <w:autoSpaceDE/>
        <w:autoSpaceDN/>
        <w:bidi w:val="0"/>
        <w:spacing w:line="480" w:lineRule="exact"/>
        <w:ind w:firstLine="640" w:firstLineChars="200"/>
        <w:textAlignment w:val="auto"/>
        <w:rPr>
          <w:rFonts w:hint="eastAsia" w:ascii="黑体" w:hAnsi="黑体" w:eastAsia="黑体"/>
          <w:bCs/>
          <w:color w:val="auto"/>
          <w:szCs w:val="32"/>
          <w:highlight w:val="none"/>
        </w:rPr>
      </w:pPr>
      <w:r>
        <w:rPr>
          <w:rFonts w:hint="eastAsia" w:ascii="黑体" w:hAnsi="黑体" w:eastAsia="黑体"/>
          <w:bCs/>
          <w:color w:val="auto"/>
          <w:szCs w:val="32"/>
          <w:highlight w:val="none"/>
        </w:rPr>
        <w:t>九、征收执行政府规定租金标准的公有出租居住房屋的补偿、价格补贴标准</w:t>
      </w:r>
    </w:p>
    <w:p w14:paraId="4DAF89CC">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征收执行政府规定租金标准的公有出租居住房屋，被征收人选择货币补偿的，租赁关系终止，对被征收人的补偿金额计算公式为：评估价格×20%；对公有房屋承租人的补偿金额计算公式为：评估价格×80%+价格补贴，被征收房屋属于旧式里弄房屋、简屋以及其他非成套独用居住房屋的，按71号令规定增加套型面积补贴。</w:t>
      </w:r>
    </w:p>
    <w:p w14:paraId="262D0E5A">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征收执行政府规定租金标准的公有出租居住房屋，被征收人选择房屋产权调换的，由被征收人负责安置公有房屋承租人，租赁关系继续保持。对被征收人的补偿金额计算公式为：评估价格+价格补贴，被征收房屋属于旧式里弄房屋、简屋以及其他非成套独用居住房屋的，按71号令规定增加套型面积补贴。</w:t>
      </w:r>
    </w:p>
    <w:p w14:paraId="7A11FB58">
      <w:pPr>
        <w:keepNext w:val="0"/>
        <w:keepLines w:val="0"/>
        <w:pageBreakBefore w:val="0"/>
        <w:widowControl w:val="0"/>
        <w:kinsoku/>
        <w:overflowPunct/>
        <w:topLinePunct w:val="0"/>
        <w:autoSpaceDE/>
        <w:autoSpaceDN/>
        <w:bidi w:val="0"/>
        <w:spacing w:line="480" w:lineRule="exact"/>
        <w:ind w:firstLine="640" w:firstLineChars="200"/>
        <w:textAlignment w:val="auto"/>
        <w:rPr>
          <w:rFonts w:hint="eastAsia" w:ascii="黑体" w:hAnsi="黑体" w:eastAsia="黑体"/>
          <w:bCs/>
          <w:color w:val="auto"/>
          <w:szCs w:val="32"/>
          <w:highlight w:val="none"/>
        </w:rPr>
      </w:pPr>
      <w:r>
        <w:rPr>
          <w:rFonts w:hint="eastAsia" w:ascii="黑体" w:hAnsi="黑体" w:eastAsia="黑体"/>
          <w:bCs/>
          <w:color w:val="auto"/>
          <w:szCs w:val="32"/>
          <w:highlight w:val="none"/>
        </w:rPr>
        <w:t>十、征收执行政府规定租金标准的私有出租居住房屋的补偿、补贴标准</w:t>
      </w:r>
    </w:p>
    <w:p w14:paraId="00D20C34">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征收执行政府规定租金标准的私有出租居住房屋，对被征收人的补偿金额计算公式为：评估价格×100%；对房屋承租人的补偿按照71号令第二十九条第一款有关公有房屋承租人的补偿规定执行。</w:t>
      </w:r>
    </w:p>
    <w:p w14:paraId="7A7EB726">
      <w:pPr>
        <w:keepNext w:val="0"/>
        <w:keepLines w:val="0"/>
        <w:pageBreakBefore w:val="0"/>
        <w:widowControl w:val="0"/>
        <w:kinsoku/>
        <w:overflowPunct/>
        <w:topLinePunct w:val="0"/>
        <w:autoSpaceDE/>
        <w:autoSpaceDN/>
        <w:bidi w:val="0"/>
        <w:spacing w:line="480" w:lineRule="exact"/>
        <w:ind w:firstLine="640" w:firstLineChars="200"/>
        <w:textAlignment w:val="auto"/>
        <w:rPr>
          <w:rFonts w:hint="eastAsia" w:ascii="黑体" w:hAnsi="黑体" w:eastAsia="黑体"/>
          <w:bCs/>
          <w:color w:val="auto"/>
          <w:szCs w:val="32"/>
          <w:highlight w:val="none"/>
        </w:rPr>
      </w:pPr>
      <w:r>
        <w:rPr>
          <w:rFonts w:hint="eastAsia" w:ascii="黑体" w:hAnsi="黑体" w:eastAsia="黑体"/>
          <w:bCs/>
          <w:color w:val="auto"/>
          <w:szCs w:val="32"/>
          <w:highlight w:val="none"/>
        </w:rPr>
        <w:t>十一、居住困难户审核办法</w:t>
      </w:r>
    </w:p>
    <w:p w14:paraId="266E1E4A">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按照本市经济适用住房（共有产权保障房）有关住房面积核定规定等相关规定及折算公式计算后，人均建筑面积不足22平方米的居住困难户，增加保障补贴，但已享受过经济适用住房（共有产权保障房）政策的除外。增加的保障补贴可以用于购买本基地公示的产权调换安置房源。</w:t>
      </w:r>
    </w:p>
    <w:p w14:paraId="1FA38F0E">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折算公式为：被征收居住房屋补偿金额÷折算单价÷居住困难户人数。</w:t>
      </w:r>
    </w:p>
    <w:p w14:paraId="57CD9CC3">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保障补贴标准：保障补贴=折算单价×居住困难户人数×22平方米-被征收居住房屋补偿金额。</w:t>
      </w:r>
    </w:p>
    <w:p w14:paraId="43899D85">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本地块折算单价：18000元/平方米。</w:t>
      </w:r>
    </w:p>
    <w:p w14:paraId="0421E485">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居住困难户审核办法另行公布。</w:t>
      </w:r>
    </w:p>
    <w:p w14:paraId="1A099315">
      <w:pPr>
        <w:keepNext w:val="0"/>
        <w:keepLines w:val="0"/>
        <w:pageBreakBefore w:val="0"/>
        <w:widowControl w:val="0"/>
        <w:kinsoku/>
        <w:overflowPunct/>
        <w:topLinePunct w:val="0"/>
        <w:autoSpaceDE/>
        <w:autoSpaceDN/>
        <w:bidi w:val="0"/>
        <w:spacing w:line="480" w:lineRule="exact"/>
        <w:ind w:firstLine="640" w:firstLineChars="200"/>
        <w:textAlignment w:val="auto"/>
        <w:rPr>
          <w:rFonts w:hint="eastAsia" w:ascii="黑体" w:hAnsi="黑体" w:eastAsia="黑体"/>
          <w:bCs/>
          <w:color w:val="auto"/>
          <w:szCs w:val="32"/>
          <w:highlight w:val="none"/>
        </w:rPr>
      </w:pPr>
      <w:r>
        <w:rPr>
          <w:rFonts w:hint="eastAsia" w:ascii="黑体" w:hAnsi="黑体" w:eastAsia="黑体"/>
          <w:bCs/>
          <w:color w:val="auto"/>
          <w:szCs w:val="32"/>
          <w:highlight w:val="none"/>
        </w:rPr>
        <w:t>十二、征收居住房屋的奖励和其他补贴标准</w:t>
      </w:r>
    </w:p>
    <w:p w14:paraId="555E2EF6">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奖励和补贴以房屋征收决定作出之日合法有效的房地产权证、租用公房凭证计户发放。</w:t>
      </w:r>
    </w:p>
    <w:p w14:paraId="23E56AC6">
      <w:pPr>
        <w:keepNext w:val="0"/>
        <w:keepLines w:val="0"/>
        <w:pageBreakBefore w:val="0"/>
        <w:widowControl w:val="0"/>
        <w:kinsoku/>
        <w:overflowPunct/>
        <w:topLinePunct w:val="0"/>
        <w:autoSpaceDE/>
        <w:autoSpaceDN/>
        <w:bidi w:val="0"/>
        <w:snapToGrid w:val="0"/>
        <w:spacing w:line="480" w:lineRule="exact"/>
        <w:ind w:firstLine="619" w:firstLineChars="200"/>
        <w:textAlignment w:val="auto"/>
        <w:rPr>
          <w:rFonts w:hint="eastAsia" w:ascii="楷体" w:hAnsi="楷体" w:eastAsia="楷体" w:cs="仿宋"/>
          <w:b/>
          <w:color w:val="auto"/>
          <w:spacing w:val="-6"/>
          <w:szCs w:val="32"/>
          <w:highlight w:val="none"/>
        </w:rPr>
      </w:pPr>
      <w:r>
        <w:rPr>
          <w:rFonts w:hint="eastAsia" w:ascii="楷体" w:hAnsi="楷体" w:eastAsia="楷体" w:cs="仿宋"/>
          <w:b/>
          <w:color w:val="auto"/>
          <w:spacing w:val="-6"/>
          <w:szCs w:val="32"/>
          <w:highlight w:val="none"/>
        </w:rPr>
        <w:t>（一）征收居住房屋的奖励标准</w:t>
      </w:r>
    </w:p>
    <w:p w14:paraId="7AB83E34">
      <w:pPr>
        <w:keepNext w:val="0"/>
        <w:keepLines w:val="0"/>
        <w:pageBreakBefore w:val="0"/>
        <w:widowControl w:val="0"/>
        <w:kinsoku/>
        <w:overflowPunct/>
        <w:topLinePunct w:val="0"/>
        <w:autoSpaceDE/>
        <w:autoSpaceDN/>
        <w:bidi w:val="0"/>
        <w:adjustRightInd w:val="0"/>
        <w:snapToGrid w:val="0"/>
        <w:spacing w:line="480" w:lineRule="exact"/>
        <w:ind w:firstLine="619" w:firstLineChars="200"/>
        <w:textAlignment w:val="auto"/>
        <w:rPr>
          <w:rFonts w:hint="eastAsia" w:ascii="仿宋" w:hAnsi="仿宋"/>
          <w:b/>
          <w:bCs/>
          <w:color w:val="auto"/>
          <w:spacing w:val="-6"/>
          <w:szCs w:val="32"/>
          <w:highlight w:val="none"/>
        </w:rPr>
      </w:pPr>
      <w:r>
        <w:rPr>
          <w:rFonts w:hint="eastAsia" w:ascii="仿宋" w:hAnsi="仿宋"/>
          <w:b/>
          <w:bCs/>
          <w:color w:val="auto"/>
          <w:spacing w:val="-6"/>
          <w:szCs w:val="32"/>
          <w:highlight w:val="none"/>
        </w:rPr>
        <w:t>1.签约奖励</w:t>
      </w:r>
    </w:p>
    <w:p w14:paraId="19A52B92">
      <w:pPr>
        <w:keepNext w:val="0"/>
        <w:keepLines w:val="0"/>
        <w:pageBreakBefore w:val="0"/>
        <w:widowControl w:val="0"/>
        <w:kinsoku/>
        <w:overflowPunct/>
        <w:topLinePunct w:val="0"/>
        <w:autoSpaceDE/>
        <w:autoSpaceDN/>
        <w:bidi w:val="0"/>
        <w:adjustRightInd w:val="0"/>
        <w:snapToGrid w:val="0"/>
        <w:spacing w:line="480" w:lineRule="exact"/>
        <w:ind w:firstLine="619" w:firstLineChars="200"/>
        <w:textAlignment w:val="auto"/>
        <w:rPr>
          <w:rFonts w:hint="eastAsia" w:ascii="仿宋" w:hAnsi="仿宋"/>
          <w:b/>
          <w:bCs/>
          <w:color w:val="auto"/>
          <w:spacing w:val="-6"/>
          <w:szCs w:val="32"/>
          <w:highlight w:val="none"/>
        </w:rPr>
      </w:pPr>
      <w:r>
        <w:rPr>
          <w:rFonts w:hint="eastAsia" w:ascii="仿宋" w:hAnsi="仿宋"/>
          <w:b/>
          <w:bCs/>
          <w:color w:val="auto"/>
          <w:spacing w:val="-6"/>
          <w:szCs w:val="32"/>
          <w:highlight w:val="none"/>
        </w:rPr>
        <w:t>（1）早签约奖</w:t>
      </w:r>
    </w:p>
    <w:p w14:paraId="0D47C46E">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被征收人、公有房屋承租人与房屋征收部门签订房屋征收补偿协议的，按签约时段给予早签约奖：</w:t>
      </w:r>
    </w:p>
    <w:p w14:paraId="57E524C5">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在签约期限第1至3日内签约的，按被征收房屋建筑面积给予10000元/平方米奖励，不足40万元/证的，按40万元/证奖励；</w:t>
      </w:r>
    </w:p>
    <w:p w14:paraId="60CA9C45">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在签约期限第4至5日内签约的，按被征收房屋建筑面积给予5000元/平方米奖励，不足20万元/证的，按20万元/证奖励；</w:t>
      </w:r>
    </w:p>
    <w:p w14:paraId="10DEC199">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签约期限届满后签约的，按被征收房屋建筑面积给予2000元/平方米，不足8万元/证的，按8万元/证奖励。</w:t>
      </w:r>
    </w:p>
    <w:p w14:paraId="1FB83913">
      <w:pPr>
        <w:keepNext w:val="0"/>
        <w:keepLines w:val="0"/>
        <w:pageBreakBefore w:val="0"/>
        <w:widowControl w:val="0"/>
        <w:kinsoku/>
        <w:overflowPunct/>
        <w:topLinePunct w:val="0"/>
        <w:autoSpaceDE/>
        <w:autoSpaceDN/>
        <w:bidi w:val="0"/>
        <w:adjustRightInd w:val="0"/>
        <w:snapToGrid w:val="0"/>
        <w:spacing w:line="480" w:lineRule="exact"/>
        <w:ind w:firstLine="619" w:firstLineChars="200"/>
        <w:textAlignment w:val="auto"/>
        <w:rPr>
          <w:rFonts w:hint="eastAsia" w:ascii="仿宋" w:hAnsi="仿宋"/>
          <w:b/>
          <w:bCs/>
          <w:color w:val="auto"/>
          <w:spacing w:val="-6"/>
          <w:szCs w:val="32"/>
          <w:highlight w:val="none"/>
        </w:rPr>
      </w:pPr>
      <w:r>
        <w:rPr>
          <w:rFonts w:hint="eastAsia" w:ascii="仿宋" w:hAnsi="仿宋"/>
          <w:b/>
          <w:bCs/>
          <w:color w:val="auto"/>
          <w:spacing w:val="-6"/>
          <w:szCs w:val="32"/>
          <w:highlight w:val="none"/>
        </w:rPr>
        <w:t>（2）整体签约率奖</w:t>
      </w:r>
    </w:p>
    <w:p w14:paraId="616B2703">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签约期限内，被征收人、公有房屋承租人与房屋征收部门签订房屋征收补偿协议的签约率达到90%，给予每证10万元奖励。另外，签约期限内签约率在90%基础上每增加1%，每证增加奖励1万元。</w:t>
      </w:r>
    </w:p>
    <w:p w14:paraId="68487DFA">
      <w:pPr>
        <w:keepNext w:val="0"/>
        <w:keepLines w:val="0"/>
        <w:pageBreakBefore w:val="0"/>
        <w:widowControl w:val="0"/>
        <w:kinsoku/>
        <w:overflowPunct/>
        <w:topLinePunct w:val="0"/>
        <w:autoSpaceDE/>
        <w:autoSpaceDN/>
        <w:bidi w:val="0"/>
        <w:adjustRightInd w:val="0"/>
        <w:snapToGrid w:val="0"/>
        <w:spacing w:line="480" w:lineRule="exact"/>
        <w:ind w:firstLine="619" w:firstLineChars="200"/>
        <w:textAlignment w:val="auto"/>
        <w:rPr>
          <w:rFonts w:hint="eastAsia" w:ascii="仿宋" w:hAnsi="仿宋"/>
          <w:b/>
          <w:bCs/>
          <w:color w:val="auto"/>
          <w:spacing w:val="-6"/>
          <w:szCs w:val="32"/>
          <w:highlight w:val="none"/>
        </w:rPr>
      </w:pPr>
      <w:r>
        <w:rPr>
          <w:rFonts w:hint="eastAsia" w:ascii="仿宋" w:hAnsi="仿宋"/>
          <w:b/>
          <w:bCs/>
          <w:color w:val="auto"/>
          <w:spacing w:val="-6"/>
          <w:szCs w:val="32"/>
          <w:highlight w:val="none"/>
        </w:rPr>
        <w:t>（3）首日签约奖</w:t>
      </w:r>
    </w:p>
    <w:p w14:paraId="746ED46A">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被征收人、公有房屋承租人在本地块签约期限首日与房屋征收部门签订房屋征收补偿协议的另给予每证10万元奖励。</w:t>
      </w:r>
    </w:p>
    <w:p w14:paraId="2932E289">
      <w:pPr>
        <w:keepNext w:val="0"/>
        <w:keepLines w:val="0"/>
        <w:pageBreakBefore w:val="0"/>
        <w:widowControl w:val="0"/>
        <w:kinsoku/>
        <w:overflowPunct/>
        <w:topLinePunct w:val="0"/>
        <w:autoSpaceDE/>
        <w:autoSpaceDN/>
        <w:bidi w:val="0"/>
        <w:adjustRightInd w:val="0"/>
        <w:snapToGrid w:val="0"/>
        <w:spacing w:line="480" w:lineRule="exact"/>
        <w:ind w:firstLine="619" w:firstLineChars="200"/>
        <w:textAlignment w:val="auto"/>
        <w:rPr>
          <w:rFonts w:hint="eastAsia" w:ascii="仿宋" w:hAnsi="仿宋"/>
          <w:b/>
          <w:bCs/>
          <w:color w:val="auto"/>
          <w:spacing w:val="-6"/>
          <w:szCs w:val="32"/>
          <w:highlight w:val="none"/>
        </w:rPr>
      </w:pPr>
      <w:r>
        <w:rPr>
          <w:rFonts w:hint="eastAsia" w:ascii="仿宋" w:hAnsi="仿宋"/>
          <w:b/>
          <w:bCs/>
          <w:color w:val="auto"/>
          <w:spacing w:val="-6"/>
          <w:szCs w:val="32"/>
          <w:highlight w:val="none"/>
        </w:rPr>
        <w:t>2.搬迁奖励</w:t>
      </w:r>
    </w:p>
    <w:p w14:paraId="73C9E5D2">
      <w:pPr>
        <w:keepNext w:val="0"/>
        <w:keepLines w:val="0"/>
        <w:pageBreakBefore w:val="0"/>
        <w:widowControl w:val="0"/>
        <w:kinsoku/>
        <w:overflowPunct/>
        <w:topLinePunct w:val="0"/>
        <w:autoSpaceDE/>
        <w:autoSpaceDN/>
        <w:bidi w:val="0"/>
        <w:adjustRightInd w:val="0"/>
        <w:snapToGrid w:val="0"/>
        <w:spacing w:line="480" w:lineRule="exact"/>
        <w:ind w:firstLine="619" w:firstLineChars="200"/>
        <w:textAlignment w:val="auto"/>
        <w:rPr>
          <w:rFonts w:hint="eastAsia" w:ascii="仿宋" w:hAnsi="仿宋"/>
          <w:b/>
          <w:bCs/>
          <w:color w:val="auto"/>
          <w:spacing w:val="-6"/>
          <w:szCs w:val="32"/>
          <w:highlight w:val="none"/>
        </w:rPr>
      </w:pPr>
      <w:r>
        <w:rPr>
          <w:rFonts w:hint="eastAsia" w:ascii="仿宋" w:hAnsi="仿宋"/>
          <w:b/>
          <w:bCs/>
          <w:color w:val="auto"/>
          <w:spacing w:val="-6"/>
          <w:szCs w:val="32"/>
          <w:highlight w:val="none"/>
        </w:rPr>
        <w:t>（1）早搬迁奖</w:t>
      </w:r>
    </w:p>
    <w:p w14:paraId="04AFD979">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被征收人、公有房屋承租人与房屋征收部门在签约期限内签订房屋征收补偿协议并按约定的搬迁期限搬离被征收房屋的，按搬迁时段给予早搬迁奖：</w:t>
      </w:r>
    </w:p>
    <w:p w14:paraId="01BEE3B3">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自本地块旧改签约生效次日起，第1日至5日内搬离被征收房屋，办理完毕交房手续的，按被征收房屋建筑面积给予4000元/平方米奖励，不足16万元/证的，按16万元/证奖励；</w:t>
      </w:r>
    </w:p>
    <w:p w14:paraId="0C4926CA">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自本地块旧改签约生效次日起，第6日至10日内搬离被征收房屋，办理完毕交房手续的，按被征收房屋建筑面积给予2000元/平方米奖励，不足8万元/证的，按8万元/证奖励；</w:t>
      </w:r>
    </w:p>
    <w:p w14:paraId="7F219943">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自本地块旧改签约生效次日起，第11日至15日搬离被征收房屋，办理完毕交房手续的，按被征收房屋建筑面积给予1000元/平方米奖励，不足4万元/证的，按4万元/证奖励。</w:t>
      </w:r>
    </w:p>
    <w:p w14:paraId="463EED4D">
      <w:pPr>
        <w:keepNext w:val="0"/>
        <w:keepLines w:val="0"/>
        <w:pageBreakBefore w:val="0"/>
        <w:widowControl w:val="0"/>
        <w:kinsoku/>
        <w:overflowPunct/>
        <w:topLinePunct w:val="0"/>
        <w:autoSpaceDE/>
        <w:autoSpaceDN/>
        <w:bidi w:val="0"/>
        <w:adjustRightInd w:val="0"/>
        <w:snapToGrid w:val="0"/>
        <w:spacing w:line="480" w:lineRule="exact"/>
        <w:ind w:firstLine="619" w:firstLineChars="200"/>
        <w:textAlignment w:val="auto"/>
        <w:rPr>
          <w:rFonts w:hint="eastAsia" w:ascii="仿宋" w:hAnsi="仿宋"/>
          <w:b/>
          <w:bCs/>
          <w:color w:val="auto"/>
          <w:spacing w:val="-6"/>
          <w:szCs w:val="32"/>
          <w:highlight w:val="none"/>
        </w:rPr>
      </w:pPr>
      <w:r>
        <w:rPr>
          <w:rFonts w:hint="eastAsia" w:ascii="仿宋" w:hAnsi="仿宋"/>
          <w:b/>
          <w:bCs/>
          <w:color w:val="auto"/>
          <w:spacing w:val="-6"/>
          <w:szCs w:val="32"/>
          <w:highlight w:val="none"/>
        </w:rPr>
        <w:t>（2）首日搬迁奖</w:t>
      </w:r>
    </w:p>
    <w:p w14:paraId="3CC40A36">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完成签约的被征收人、公有房屋承租人在本地块旧改签约生效次日当天搬离被征收房屋并办理完毕交房手续的，每证给予5万元奖励。</w:t>
      </w:r>
    </w:p>
    <w:p w14:paraId="57927E82">
      <w:pPr>
        <w:keepNext w:val="0"/>
        <w:keepLines w:val="0"/>
        <w:pageBreakBefore w:val="0"/>
        <w:widowControl w:val="0"/>
        <w:kinsoku/>
        <w:overflowPunct/>
        <w:topLinePunct w:val="0"/>
        <w:autoSpaceDE/>
        <w:autoSpaceDN/>
        <w:bidi w:val="0"/>
        <w:adjustRightInd w:val="0"/>
        <w:snapToGrid w:val="0"/>
        <w:spacing w:line="480" w:lineRule="exact"/>
        <w:ind w:firstLine="619" w:firstLineChars="200"/>
        <w:textAlignment w:val="auto"/>
        <w:rPr>
          <w:rFonts w:hint="eastAsia" w:ascii="仿宋" w:hAnsi="仿宋"/>
          <w:b/>
          <w:bCs/>
          <w:color w:val="auto"/>
          <w:spacing w:val="-6"/>
          <w:szCs w:val="32"/>
          <w:highlight w:val="none"/>
        </w:rPr>
      </w:pPr>
      <w:r>
        <w:rPr>
          <w:rFonts w:hint="eastAsia" w:ascii="仿宋" w:hAnsi="仿宋"/>
          <w:b/>
          <w:bCs/>
          <w:color w:val="auto"/>
          <w:spacing w:val="-6"/>
          <w:szCs w:val="32"/>
          <w:highlight w:val="none"/>
        </w:rPr>
        <w:t>（3）户籍迁出奖</w:t>
      </w:r>
    </w:p>
    <w:p w14:paraId="0A3FE4B6">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被征收人、公有房屋承租人与房屋征收部门在签约期限内签订房屋征收补偿协议的，在规定时间内将被征收房屋内户口全部迁出的给予1万元/证奖励。</w:t>
      </w:r>
    </w:p>
    <w:p w14:paraId="129534AD">
      <w:pPr>
        <w:keepNext w:val="0"/>
        <w:keepLines w:val="0"/>
        <w:pageBreakBefore w:val="0"/>
        <w:widowControl w:val="0"/>
        <w:kinsoku/>
        <w:overflowPunct/>
        <w:topLinePunct w:val="0"/>
        <w:autoSpaceDE/>
        <w:autoSpaceDN/>
        <w:bidi w:val="0"/>
        <w:snapToGrid w:val="0"/>
        <w:spacing w:line="480" w:lineRule="exact"/>
        <w:ind w:firstLine="619" w:firstLineChars="200"/>
        <w:textAlignment w:val="auto"/>
        <w:rPr>
          <w:rFonts w:hint="eastAsia" w:ascii="楷体" w:hAnsi="楷体" w:eastAsia="楷体" w:cs="仿宋"/>
          <w:b/>
          <w:color w:val="auto"/>
          <w:spacing w:val="-6"/>
          <w:szCs w:val="32"/>
          <w:highlight w:val="none"/>
        </w:rPr>
      </w:pPr>
      <w:r>
        <w:rPr>
          <w:rFonts w:hint="eastAsia" w:ascii="楷体" w:hAnsi="楷体" w:eastAsia="楷体" w:cs="仿宋"/>
          <w:b/>
          <w:color w:val="auto"/>
          <w:spacing w:val="-6"/>
          <w:szCs w:val="32"/>
          <w:highlight w:val="none"/>
        </w:rPr>
        <w:t>（二）征收居住房屋的其他补贴标准</w:t>
      </w:r>
    </w:p>
    <w:p w14:paraId="37CDB1E3">
      <w:pPr>
        <w:keepNext w:val="0"/>
        <w:keepLines w:val="0"/>
        <w:pageBreakBefore w:val="0"/>
        <w:widowControl w:val="0"/>
        <w:kinsoku/>
        <w:overflowPunct/>
        <w:topLinePunct w:val="0"/>
        <w:autoSpaceDE/>
        <w:autoSpaceDN/>
        <w:bidi w:val="0"/>
        <w:adjustRightInd w:val="0"/>
        <w:snapToGrid w:val="0"/>
        <w:spacing w:line="480" w:lineRule="exact"/>
        <w:ind w:firstLine="619" w:firstLineChars="200"/>
        <w:textAlignment w:val="auto"/>
        <w:rPr>
          <w:rFonts w:hint="eastAsia" w:ascii="仿宋" w:hAnsi="仿宋"/>
          <w:b/>
          <w:bCs/>
          <w:color w:val="auto"/>
          <w:spacing w:val="-6"/>
          <w:szCs w:val="32"/>
          <w:highlight w:val="none"/>
        </w:rPr>
      </w:pPr>
      <w:r>
        <w:rPr>
          <w:rFonts w:hint="eastAsia" w:ascii="仿宋" w:hAnsi="仿宋"/>
          <w:b/>
          <w:bCs/>
          <w:color w:val="auto"/>
          <w:spacing w:val="-6"/>
          <w:szCs w:val="32"/>
          <w:highlight w:val="none"/>
        </w:rPr>
        <w:t>1.室内装修补贴</w:t>
      </w:r>
    </w:p>
    <w:p w14:paraId="340B4A2C">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每证按被征收房屋建筑面积500元/平方米给予室内装修补贴。</w:t>
      </w:r>
    </w:p>
    <w:p w14:paraId="10613D29">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被征收人、公有房屋承租人对装修补贴有异议的，可以委托选定的估价机构评估确定。</w:t>
      </w:r>
    </w:p>
    <w:p w14:paraId="1B6C313F">
      <w:pPr>
        <w:keepNext w:val="0"/>
        <w:keepLines w:val="0"/>
        <w:pageBreakBefore w:val="0"/>
        <w:widowControl w:val="0"/>
        <w:kinsoku/>
        <w:overflowPunct/>
        <w:topLinePunct w:val="0"/>
        <w:autoSpaceDE/>
        <w:autoSpaceDN/>
        <w:bidi w:val="0"/>
        <w:adjustRightInd w:val="0"/>
        <w:snapToGrid w:val="0"/>
        <w:spacing w:line="480" w:lineRule="exact"/>
        <w:ind w:firstLine="619" w:firstLineChars="200"/>
        <w:textAlignment w:val="auto"/>
        <w:rPr>
          <w:rFonts w:hint="eastAsia" w:ascii="仿宋" w:hAnsi="仿宋"/>
          <w:b/>
          <w:bCs/>
          <w:color w:val="auto"/>
          <w:spacing w:val="-6"/>
          <w:szCs w:val="32"/>
          <w:highlight w:val="none"/>
        </w:rPr>
      </w:pPr>
      <w:r>
        <w:rPr>
          <w:rFonts w:hint="eastAsia" w:ascii="仿宋" w:hAnsi="仿宋"/>
          <w:b/>
          <w:bCs/>
          <w:color w:val="auto"/>
          <w:spacing w:val="-6"/>
          <w:szCs w:val="32"/>
          <w:highlight w:val="none"/>
        </w:rPr>
        <w:t>2.均衡实物补贴</w:t>
      </w:r>
    </w:p>
    <w:p w14:paraId="22091DF7">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被征收人、公有房屋承租人选择货币补偿方式的，按被征收房屋建筑面积给予1</w:t>
      </w:r>
      <w:r>
        <w:rPr>
          <w:rFonts w:hint="eastAsia" w:ascii="仿宋" w:hAnsi="仿宋"/>
          <w:color w:val="auto"/>
          <w:spacing w:val="-6"/>
          <w:szCs w:val="32"/>
          <w:highlight w:val="none"/>
          <w:lang w:val="en-US" w:eastAsia="zh-CN"/>
        </w:rPr>
        <w:t>0</w:t>
      </w:r>
      <w:r>
        <w:rPr>
          <w:rFonts w:hint="eastAsia" w:ascii="仿宋" w:hAnsi="仿宋"/>
          <w:color w:val="auto"/>
          <w:spacing w:val="-6"/>
          <w:szCs w:val="32"/>
          <w:highlight w:val="none"/>
        </w:rPr>
        <w:t>000元/平方米均衡实物补贴</w:t>
      </w:r>
      <w:r>
        <w:rPr>
          <w:rFonts w:hint="eastAsia" w:ascii="仿宋" w:hAnsi="仿宋"/>
          <w:color w:val="auto"/>
          <w:spacing w:val="-6"/>
          <w:szCs w:val="32"/>
          <w:highlight w:val="none"/>
          <w:lang w:eastAsia="zh-CN"/>
        </w:rPr>
        <w:t>。</w:t>
      </w:r>
    </w:p>
    <w:p w14:paraId="7F96294B">
      <w:pPr>
        <w:keepNext w:val="0"/>
        <w:keepLines w:val="0"/>
        <w:pageBreakBefore w:val="0"/>
        <w:widowControl w:val="0"/>
        <w:kinsoku/>
        <w:overflowPunct/>
        <w:topLinePunct w:val="0"/>
        <w:autoSpaceDE/>
        <w:autoSpaceDN/>
        <w:bidi w:val="0"/>
        <w:adjustRightInd w:val="0"/>
        <w:snapToGrid w:val="0"/>
        <w:spacing w:line="480" w:lineRule="exact"/>
        <w:ind w:firstLine="619" w:firstLineChars="200"/>
        <w:textAlignment w:val="auto"/>
        <w:rPr>
          <w:rFonts w:hint="eastAsia" w:ascii="仿宋" w:hAnsi="仿宋"/>
          <w:b/>
          <w:bCs/>
          <w:color w:val="auto"/>
          <w:spacing w:val="-6"/>
          <w:szCs w:val="32"/>
          <w:highlight w:val="none"/>
        </w:rPr>
      </w:pPr>
      <w:r>
        <w:rPr>
          <w:rFonts w:hint="eastAsia" w:ascii="仿宋" w:hAnsi="仿宋"/>
          <w:b/>
          <w:bCs/>
          <w:color w:val="auto"/>
          <w:spacing w:val="-6"/>
          <w:szCs w:val="32"/>
          <w:highlight w:val="none"/>
        </w:rPr>
        <w:t>3.不予认定建筑面积补贴</w:t>
      </w:r>
    </w:p>
    <w:p w14:paraId="70D45333">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被征收人、公有房屋承租人与房屋征收部门在签约期限内签订房屋征收补偿协议的，对于没有不予认定建筑面积的部分，给予无不予认定建筑面积补贴10万元/证；对于不予认定建筑面积的部分，按600元/平方米给予材料补贴，最高不超过10万元/证。</w:t>
      </w:r>
    </w:p>
    <w:p w14:paraId="64290207">
      <w:pPr>
        <w:keepNext w:val="0"/>
        <w:keepLines w:val="0"/>
        <w:pageBreakBefore w:val="0"/>
        <w:widowControl w:val="0"/>
        <w:kinsoku/>
        <w:overflowPunct/>
        <w:topLinePunct w:val="0"/>
        <w:autoSpaceDE/>
        <w:autoSpaceDN/>
        <w:bidi w:val="0"/>
        <w:adjustRightInd w:val="0"/>
        <w:snapToGrid w:val="0"/>
        <w:spacing w:line="480" w:lineRule="exact"/>
        <w:ind w:firstLine="619" w:firstLineChars="200"/>
        <w:textAlignment w:val="auto"/>
        <w:rPr>
          <w:rFonts w:hint="eastAsia" w:ascii="仿宋" w:hAnsi="仿宋"/>
          <w:b/>
          <w:bCs/>
          <w:color w:val="auto"/>
          <w:spacing w:val="-6"/>
          <w:szCs w:val="32"/>
          <w:highlight w:val="none"/>
        </w:rPr>
      </w:pPr>
      <w:r>
        <w:rPr>
          <w:rFonts w:hint="eastAsia" w:ascii="仿宋" w:hAnsi="仿宋"/>
          <w:b/>
          <w:bCs/>
          <w:color w:val="auto"/>
          <w:spacing w:val="-6"/>
          <w:szCs w:val="32"/>
          <w:highlight w:val="none"/>
        </w:rPr>
        <w:t>4.成套价格补贴</w:t>
      </w:r>
    </w:p>
    <w:p w14:paraId="02A7C282">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对本地块内房屋类型为新里、新工房、公寓的成套居住房屋另给予60万元/证价格补贴，可以用于购买本地块公示的产权调换房屋。</w:t>
      </w:r>
    </w:p>
    <w:p w14:paraId="08990E76">
      <w:pPr>
        <w:keepNext w:val="0"/>
        <w:keepLines w:val="0"/>
        <w:pageBreakBefore w:val="0"/>
        <w:widowControl w:val="0"/>
        <w:kinsoku/>
        <w:overflowPunct/>
        <w:topLinePunct w:val="0"/>
        <w:autoSpaceDE/>
        <w:autoSpaceDN/>
        <w:bidi w:val="0"/>
        <w:adjustRightInd w:val="0"/>
        <w:snapToGrid w:val="0"/>
        <w:spacing w:line="480" w:lineRule="exact"/>
        <w:ind w:firstLine="619" w:firstLineChars="200"/>
        <w:textAlignment w:val="auto"/>
        <w:rPr>
          <w:rFonts w:hint="eastAsia" w:ascii="仿宋" w:hAnsi="仿宋"/>
          <w:b/>
          <w:bCs/>
          <w:color w:val="auto"/>
          <w:spacing w:val="-6"/>
          <w:szCs w:val="32"/>
          <w:highlight w:val="none"/>
        </w:rPr>
      </w:pPr>
      <w:r>
        <w:rPr>
          <w:rFonts w:hint="eastAsia" w:ascii="仿宋" w:hAnsi="仿宋"/>
          <w:b/>
          <w:bCs/>
          <w:color w:val="auto"/>
          <w:spacing w:val="-6"/>
          <w:szCs w:val="32"/>
          <w:highlight w:val="none"/>
        </w:rPr>
        <w:t>5.家用设施移装费</w:t>
      </w:r>
    </w:p>
    <w:p w14:paraId="4C137A96">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（1）固定电话移装费，每号140元或按现行有关规定（凭缴费单据）；</w:t>
      </w:r>
    </w:p>
    <w:p w14:paraId="628ECEE7">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（2）管道煤气拆装费，每户160元或按现行有关规定（凭缴费单据）；</w:t>
      </w:r>
    </w:p>
    <w:p w14:paraId="25E4A88E">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（3）有线电视移装费，每户240元或按现行有关规定（凭缴费单据）；</w:t>
      </w:r>
    </w:p>
    <w:p w14:paraId="1850884E">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（4）宽带移装费，每户90元或按现行有关规定（凭缴费单据）；</w:t>
      </w:r>
    </w:p>
    <w:p w14:paraId="75E11919">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（5）空调拆装费，每台400元（按实计算）；</w:t>
      </w:r>
    </w:p>
    <w:p w14:paraId="3C237D45">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（6）热水器拆装费，每台300元（按实计算）；</w:t>
      </w:r>
    </w:p>
    <w:p w14:paraId="3BD6835A">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（7）家用（独用）电表，凭收费单据按实结算。</w:t>
      </w:r>
    </w:p>
    <w:p w14:paraId="7862D213">
      <w:pPr>
        <w:keepNext w:val="0"/>
        <w:keepLines w:val="0"/>
        <w:pageBreakBefore w:val="0"/>
        <w:widowControl w:val="0"/>
        <w:kinsoku/>
        <w:overflowPunct/>
        <w:topLinePunct w:val="0"/>
        <w:autoSpaceDE/>
        <w:autoSpaceDN/>
        <w:bidi w:val="0"/>
        <w:adjustRightInd w:val="0"/>
        <w:snapToGrid w:val="0"/>
        <w:spacing w:line="480" w:lineRule="exact"/>
        <w:ind w:firstLine="619" w:firstLineChars="200"/>
        <w:textAlignment w:val="auto"/>
        <w:rPr>
          <w:rFonts w:hint="eastAsia" w:ascii="仿宋" w:hAnsi="仿宋"/>
          <w:b/>
          <w:bCs/>
          <w:color w:val="auto"/>
          <w:spacing w:val="-6"/>
          <w:szCs w:val="32"/>
          <w:highlight w:val="none"/>
        </w:rPr>
      </w:pPr>
      <w:r>
        <w:rPr>
          <w:rFonts w:hint="eastAsia" w:ascii="仿宋" w:hAnsi="仿宋"/>
          <w:b/>
          <w:bCs/>
          <w:color w:val="auto"/>
          <w:spacing w:val="-6"/>
          <w:szCs w:val="32"/>
          <w:highlight w:val="none"/>
        </w:rPr>
        <w:t>6.搬迁费</w:t>
      </w:r>
    </w:p>
    <w:p w14:paraId="57377745">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按被征收房屋建筑面积35元/平方米结算。低于1600元/证的按1600元/证发放。</w:t>
      </w:r>
    </w:p>
    <w:p w14:paraId="44F422F5">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凡在征收签约期限内签约并按约定期限内搬离被征收房屋的（原住房腾空且钥匙交房屋征收部门），每户提供1辆次免费搬场车。</w:t>
      </w:r>
    </w:p>
    <w:p w14:paraId="30C0C7B3">
      <w:pPr>
        <w:keepNext w:val="0"/>
        <w:keepLines w:val="0"/>
        <w:pageBreakBefore w:val="0"/>
        <w:widowControl w:val="0"/>
        <w:kinsoku/>
        <w:overflowPunct/>
        <w:topLinePunct w:val="0"/>
        <w:autoSpaceDE/>
        <w:autoSpaceDN/>
        <w:bidi w:val="0"/>
        <w:adjustRightInd w:val="0"/>
        <w:snapToGrid w:val="0"/>
        <w:spacing w:line="480" w:lineRule="exact"/>
        <w:ind w:firstLine="619" w:firstLineChars="200"/>
        <w:textAlignment w:val="auto"/>
        <w:rPr>
          <w:rFonts w:hint="eastAsia" w:ascii="仿宋" w:hAnsi="仿宋"/>
          <w:b/>
          <w:bCs/>
          <w:color w:val="auto"/>
          <w:spacing w:val="-6"/>
          <w:szCs w:val="32"/>
          <w:highlight w:val="none"/>
        </w:rPr>
      </w:pPr>
      <w:r>
        <w:rPr>
          <w:rFonts w:hint="eastAsia" w:ascii="仿宋" w:hAnsi="仿宋"/>
          <w:b/>
          <w:bCs/>
          <w:color w:val="auto"/>
          <w:spacing w:val="-6"/>
          <w:szCs w:val="32"/>
          <w:highlight w:val="none"/>
        </w:rPr>
        <w:t>7.临时安置补贴</w:t>
      </w:r>
    </w:p>
    <w:p w14:paraId="13D08A70">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每证按被征收房屋建筑面积600元/平方米给予临时安置补贴。</w:t>
      </w:r>
    </w:p>
    <w:p w14:paraId="0D528CDA">
      <w:pPr>
        <w:keepNext w:val="0"/>
        <w:keepLines w:val="0"/>
        <w:pageBreakBefore w:val="0"/>
        <w:widowControl w:val="0"/>
        <w:kinsoku/>
        <w:overflowPunct/>
        <w:topLinePunct w:val="0"/>
        <w:autoSpaceDE/>
        <w:autoSpaceDN/>
        <w:bidi w:val="0"/>
        <w:adjustRightInd w:val="0"/>
        <w:snapToGrid w:val="0"/>
        <w:spacing w:line="480" w:lineRule="exact"/>
        <w:ind w:firstLine="619" w:firstLineChars="200"/>
        <w:textAlignment w:val="auto"/>
        <w:rPr>
          <w:rFonts w:hint="eastAsia" w:ascii="仿宋" w:hAnsi="仿宋"/>
          <w:b/>
          <w:bCs/>
          <w:color w:val="auto"/>
          <w:spacing w:val="-6"/>
          <w:szCs w:val="32"/>
          <w:highlight w:val="none"/>
        </w:rPr>
      </w:pPr>
      <w:r>
        <w:rPr>
          <w:rFonts w:hint="eastAsia" w:ascii="仿宋" w:hAnsi="仿宋"/>
          <w:b/>
          <w:bCs/>
          <w:color w:val="auto"/>
          <w:spacing w:val="-6"/>
          <w:szCs w:val="32"/>
          <w:highlight w:val="none"/>
        </w:rPr>
        <w:t>8.证照补贴</w:t>
      </w:r>
    </w:p>
    <w:p w14:paraId="3846C541">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对持有征收决定作出之日合法有效的工商营业执照等经营性证照的经营户（须注册在被征收房屋内），按房屋产权证或公房租赁凭证给予10万元/证补贴。</w:t>
      </w:r>
    </w:p>
    <w:p w14:paraId="6B8B4FDC">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注：同一证被征收房屋内有多个工商营业执照等经营性证照的，仍按照一证予以补贴。</w:t>
      </w:r>
    </w:p>
    <w:p w14:paraId="6EB3FAE9">
      <w:pPr>
        <w:keepNext w:val="0"/>
        <w:keepLines w:val="0"/>
        <w:pageBreakBefore w:val="0"/>
        <w:widowControl w:val="0"/>
        <w:kinsoku/>
        <w:overflowPunct/>
        <w:topLinePunct w:val="0"/>
        <w:autoSpaceDE/>
        <w:autoSpaceDN/>
        <w:bidi w:val="0"/>
        <w:spacing w:line="480" w:lineRule="exact"/>
        <w:ind w:firstLine="640" w:firstLineChars="200"/>
        <w:textAlignment w:val="auto"/>
        <w:rPr>
          <w:rFonts w:hint="eastAsia" w:ascii="黑体" w:hAnsi="黑体" w:eastAsia="黑体"/>
          <w:bCs/>
          <w:color w:val="auto"/>
          <w:szCs w:val="32"/>
          <w:highlight w:val="none"/>
        </w:rPr>
      </w:pPr>
      <w:r>
        <w:rPr>
          <w:rFonts w:hint="eastAsia" w:ascii="黑体" w:hAnsi="黑体" w:eastAsia="黑体"/>
          <w:bCs/>
          <w:color w:val="auto"/>
          <w:szCs w:val="32"/>
          <w:highlight w:val="none"/>
        </w:rPr>
        <w:t>十三、征收依法代管房屋的补偿标准</w:t>
      </w:r>
    </w:p>
    <w:p w14:paraId="10DEF4A3">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征收房屋管理部门依法代管的房屋，房屋征收部门应当与代管人订立征收补偿协议。征收补偿协议应当经公证机构公证，征收房屋有关资料应当向公证机构办理证据保全。补偿方式与标准，按照71号令第三十七条第二款的规定执行。</w:t>
      </w:r>
    </w:p>
    <w:p w14:paraId="1A1FCB47">
      <w:pPr>
        <w:keepNext w:val="0"/>
        <w:keepLines w:val="0"/>
        <w:pageBreakBefore w:val="0"/>
        <w:widowControl w:val="0"/>
        <w:kinsoku/>
        <w:overflowPunct/>
        <w:topLinePunct w:val="0"/>
        <w:autoSpaceDE/>
        <w:autoSpaceDN/>
        <w:bidi w:val="0"/>
        <w:spacing w:line="480" w:lineRule="exact"/>
        <w:ind w:firstLine="640" w:firstLineChars="200"/>
        <w:textAlignment w:val="auto"/>
        <w:rPr>
          <w:rFonts w:hint="eastAsia" w:ascii="黑体" w:hAnsi="黑体" w:eastAsia="黑体"/>
          <w:bCs/>
          <w:color w:val="auto"/>
          <w:szCs w:val="32"/>
          <w:highlight w:val="none"/>
        </w:rPr>
      </w:pPr>
      <w:r>
        <w:rPr>
          <w:rFonts w:hint="eastAsia" w:ascii="黑体" w:hAnsi="黑体" w:eastAsia="黑体"/>
          <w:bCs/>
          <w:color w:val="auto"/>
          <w:szCs w:val="32"/>
          <w:highlight w:val="none"/>
        </w:rPr>
        <w:t>十四、用于产权调换房屋的基本情况和选购方法</w:t>
      </w:r>
    </w:p>
    <w:p w14:paraId="3458723A">
      <w:pPr>
        <w:keepNext w:val="0"/>
        <w:keepLines w:val="0"/>
        <w:pageBreakBefore w:val="0"/>
        <w:widowControl w:val="0"/>
        <w:kinsoku/>
        <w:overflowPunct/>
        <w:topLinePunct w:val="0"/>
        <w:autoSpaceDE/>
        <w:autoSpaceDN/>
        <w:bidi w:val="0"/>
        <w:adjustRightInd w:val="0"/>
        <w:snapToGrid w:val="0"/>
        <w:spacing w:line="480" w:lineRule="exact"/>
        <w:ind w:firstLine="619" w:firstLineChars="200"/>
        <w:textAlignment w:val="auto"/>
        <w:rPr>
          <w:rFonts w:hint="eastAsia" w:ascii="仿宋" w:hAnsi="仿宋"/>
          <w:b/>
          <w:bCs/>
          <w:color w:val="auto"/>
          <w:spacing w:val="-6"/>
          <w:szCs w:val="32"/>
          <w:highlight w:val="none"/>
        </w:rPr>
      </w:pPr>
      <w:r>
        <w:rPr>
          <w:rFonts w:hint="eastAsia" w:ascii="仿宋" w:hAnsi="仿宋"/>
          <w:b/>
          <w:bCs/>
          <w:color w:val="auto"/>
          <w:spacing w:val="-6"/>
          <w:szCs w:val="32"/>
          <w:highlight w:val="none"/>
        </w:rPr>
        <w:t>1.本地块用于居住房屋产权调换的房屋</w:t>
      </w:r>
    </w:p>
    <w:p w14:paraId="4F45939A">
      <w:pPr>
        <w:keepNext w:val="0"/>
        <w:keepLines w:val="0"/>
        <w:pageBreakBefore w:val="0"/>
        <w:widowControl w:val="0"/>
        <w:kinsoku/>
        <w:overflowPunct/>
        <w:topLinePunct w:val="0"/>
        <w:autoSpaceDE/>
        <w:autoSpaceDN/>
        <w:bidi w:val="0"/>
        <w:adjustRightInd w:val="0"/>
        <w:snapToGrid w:val="0"/>
        <w:spacing w:line="480" w:lineRule="exact"/>
        <w:ind w:firstLine="619" w:firstLineChars="200"/>
        <w:textAlignment w:val="auto"/>
        <w:rPr>
          <w:rFonts w:hint="eastAsia" w:ascii="仿宋" w:hAnsi="仿宋"/>
          <w:b/>
          <w:bCs/>
          <w:color w:val="auto"/>
          <w:spacing w:val="-6"/>
          <w:szCs w:val="32"/>
          <w:highlight w:val="none"/>
        </w:rPr>
      </w:pPr>
      <w:r>
        <w:rPr>
          <w:rFonts w:hint="eastAsia" w:ascii="仿宋" w:hAnsi="仿宋"/>
          <w:b/>
          <w:bCs/>
          <w:color w:val="auto"/>
          <w:spacing w:val="-6"/>
          <w:szCs w:val="32"/>
          <w:highlight w:val="none"/>
        </w:rPr>
        <w:t>（1）本区房源</w:t>
      </w:r>
    </w:p>
    <w:p w14:paraId="2C429816">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徐汇区盛华景苑，</w:t>
      </w:r>
      <w:r>
        <w:rPr>
          <w:rFonts w:hint="eastAsia" w:ascii="仿宋" w:hAnsi="仿宋"/>
          <w:color w:val="auto"/>
          <w:spacing w:val="-6"/>
          <w:szCs w:val="32"/>
          <w:highlight w:val="none"/>
          <w:lang w:eastAsia="zh-CN"/>
        </w:rPr>
        <w:t>使用均价</w:t>
      </w:r>
      <w:r>
        <w:rPr>
          <w:rFonts w:hint="eastAsia" w:ascii="仿宋_GB2312" w:hAnsi="仿宋_GB2312" w:cs="仿宋_GB2312"/>
          <w:color w:val="000000"/>
          <w:szCs w:val="30"/>
        </w:rPr>
        <w:t>49800元/平方米</w:t>
      </w:r>
      <w:r>
        <w:rPr>
          <w:rFonts w:hint="eastAsia" w:ascii="仿宋_GB2312" w:hAnsi="仿宋_GB2312" w:cs="仿宋_GB2312"/>
          <w:color w:val="000000"/>
          <w:szCs w:val="30"/>
          <w:lang w:eastAsia="zh-CN"/>
        </w:rPr>
        <w:t>，</w:t>
      </w:r>
      <w:r>
        <w:rPr>
          <w:rFonts w:hint="eastAsia" w:ascii="仿宋" w:hAnsi="仿宋"/>
          <w:color w:val="auto"/>
          <w:spacing w:val="-6"/>
          <w:szCs w:val="32"/>
          <w:highlight w:val="none"/>
        </w:rPr>
        <w:t>一房一价。</w:t>
      </w:r>
    </w:p>
    <w:p w14:paraId="197DBD02">
      <w:pPr>
        <w:keepNext w:val="0"/>
        <w:keepLines w:val="0"/>
        <w:pageBreakBefore w:val="0"/>
        <w:widowControl w:val="0"/>
        <w:kinsoku/>
        <w:overflowPunct/>
        <w:topLinePunct w:val="0"/>
        <w:autoSpaceDE/>
        <w:autoSpaceDN/>
        <w:bidi w:val="0"/>
        <w:adjustRightInd w:val="0"/>
        <w:snapToGrid w:val="0"/>
        <w:spacing w:line="480" w:lineRule="exact"/>
        <w:ind w:firstLine="619" w:firstLineChars="200"/>
        <w:textAlignment w:val="auto"/>
        <w:rPr>
          <w:rFonts w:hint="eastAsia" w:ascii="仿宋" w:hAnsi="仿宋"/>
          <w:b/>
          <w:bCs/>
          <w:color w:val="auto"/>
          <w:spacing w:val="-6"/>
          <w:szCs w:val="32"/>
          <w:highlight w:val="none"/>
        </w:rPr>
      </w:pPr>
      <w:r>
        <w:rPr>
          <w:rFonts w:hint="eastAsia" w:ascii="仿宋" w:hAnsi="仿宋"/>
          <w:b/>
          <w:bCs/>
          <w:color w:val="auto"/>
          <w:spacing w:val="-6"/>
          <w:szCs w:val="32"/>
          <w:highlight w:val="none"/>
        </w:rPr>
        <w:t>（2）外区房源</w:t>
      </w:r>
    </w:p>
    <w:p w14:paraId="2CDB3A31">
      <w:pPr>
        <w:keepNext w:val="0"/>
        <w:keepLines w:val="0"/>
        <w:pageBreakBefore w:val="0"/>
        <w:widowControl w:val="0"/>
        <w:numPr>
          <w:ilvl w:val="0"/>
          <w:numId w:val="1"/>
        </w:numPr>
        <w:kinsoku/>
        <w:overflowPunct/>
        <w:topLinePunct w:val="0"/>
        <w:autoSpaceDE/>
        <w:autoSpaceDN/>
        <w:bidi w:val="0"/>
        <w:snapToGrid w:val="0"/>
        <w:spacing w:line="480" w:lineRule="exact"/>
        <w:ind w:left="0" w:leftChars="0"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浦东新区城林雅苑，</w:t>
      </w:r>
      <w:r>
        <w:rPr>
          <w:rFonts w:hint="eastAsia" w:ascii="仿宋" w:hAnsi="仿宋" w:cs="仿宋_GB2312"/>
          <w:color w:val="auto"/>
          <w:spacing w:val="-6"/>
          <w:szCs w:val="32"/>
          <w:highlight w:val="none"/>
          <w:lang w:val="en-US" w:eastAsia="zh-CN"/>
        </w:rPr>
        <w:t>使用均价37200元/平方米，</w:t>
      </w:r>
      <w:r>
        <w:rPr>
          <w:rFonts w:hint="eastAsia" w:ascii="仿宋" w:hAnsi="仿宋" w:cs="仿宋_GB2312"/>
          <w:color w:val="auto"/>
          <w:spacing w:val="-6"/>
          <w:szCs w:val="32"/>
          <w:highlight w:val="none"/>
        </w:rPr>
        <w:t>一房一价</w:t>
      </w:r>
      <w:r>
        <w:rPr>
          <w:rFonts w:hint="eastAsia" w:ascii="仿宋" w:hAnsi="仿宋" w:cs="仿宋_GB2312"/>
          <w:color w:val="auto"/>
          <w:spacing w:val="-6"/>
          <w:szCs w:val="32"/>
          <w:highlight w:val="none"/>
          <w:lang w:val="en-US" w:eastAsia="zh-CN"/>
        </w:rPr>
        <w:t>,</w:t>
      </w:r>
      <w:r>
        <w:rPr>
          <w:rFonts w:hint="eastAsia" w:ascii="仿宋" w:hAnsi="仿宋" w:cs="仿宋_GB2312"/>
          <w:color w:val="auto"/>
          <w:spacing w:val="-6"/>
          <w:szCs w:val="32"/>
          <w:highlight w:val="none"/>
        </w:rPr>
        <w:t>另按申购房屋建筑面积补贴</w:t>
      </w:r>
      <w:r>
        <w:rPr>
          <w:rFonts w:hint="eastAsia" w:ascii="仿宋" w:hAnsi="仿宋" w:cs="仿宋_GB2312"/>
          <w:color w:val="auto"/>
          <w:spacing w:val="-6"/>
          <w:szCs w:val="32"/>
          <w:highlight w:val="none"/>
          <w:lang w:val="en-US" w:eastAsia="zh-CN"/>
        </w:rPr>
        <w:t>14200</w:t>
      </w:r>
      <w:r>
        <w:rPr>
          <w:rFonts w:hint="eastAsia" w:ascii="仿宋" w:hAnsi="仿宋" w:cs="仿宋_GB2312"/>
          <w:color w:val="auto"/>
          <w:spacing w:val="-6"/>
          <w:szCs w:val="32"/>
          <w:highlight w:val="none"/>
        </w:rPr>
        <w:t>元/平方米</w:t>
      </w:r>
      <w:r>
        <w:rPr>
          <w:rFonts w:hint="eastAsia" w:ascii="仿宋" w:hAnsi="仿宋"/>
          <w:color w:val="auto"/>
          <w:spacing w:val="-6"/>
          <w:szCs w:val="32"/>
          <w:highlight w:val="none"/>
        </w:rPr>
        <w:t>；</w:t>
      </w:r>
    </w:p>
    <w:p w14:paraId="6CF125E5">
      <w:pPr>
        <w:keepNext w:val="0"/>
        <w:keepLines w:val="0"/>
        <w:pageBreakBefore w:val="0"/>
        <w:widowControl w:val="0"/>
        <w:numPr>
          <w:ilvl w:val="0"/>
          <w:numId w:val="1"/>
        </w:numPr>
        <w:kinsoku/>
        <w:overflowPunct/>
        <w:topLinePunct w:val="0"/>
        <w:autoSpaceDE/>
        <w:autoSpaceDN/>
        <w:bidi w:val="0"/>
        <w:snapToGrid w:val="0"/>
        <w:spacing w:line="480" w:lineRule="exact"/>
        <w:ind w:left="0" w:leftChars="0"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浦东新区城林嘉苑，</w:t>
      </w:r>
      <w:r>
        <w:rPr>
          <w:rFonts w:hint="eastAsia" w:ascii="仿宋" w:hAnsi="仿宋" w:cs="仿宋_GB2312"/>
          <w:color w:val="auto"/>
          <w:spacing w:val="-6"/>
          <w:szCs w:val="32"/>
          <w:highlight w:val="none"/>
          <w:lang w:val="en-US" w:eastAsia="zh-CN"/>
        </w:rPr>
        <w:t>使用均价37200元/平方米，</w:t>
      </w:r>
      <w:r>
        <w:rPr>
          <w:rFonts w:hint="eastAsia" w:ascii="仿宋" w:hAnsi="仿宋"/>
          <w:color w:val="auto"/>
          <w:spacing w:val="-6"/>
          <w:szCs w:val="32"/>
          <w:highlight w:val="none"/>
        </w:rPr>
        <w:t>一房一价</w:t>
      </w:r>
      <w:r>
        <w:rPr>
          <w:rFonts w:hint="eastAsia" w:ascii="仿宋" w:hAnsi="仿宋"/>
          <w:color w:val="auto"/>
          <w:spacing w:val="-6"/>
          <w:szCs w:val="32"/>
          <w:highlight w:val="none"/>
          <w:lang w:eastAsia="zh-CN"/>
        </w:rPr>
        <w:t>，</w:t>
      </w:r>
      <w:r>
        <w:rPr>
          <w:rFonts w:hint="eastAsia" w:ascii="仿宋" w:hAnsi="仿宋" w:cs="仿宋_GB2312"/>
          <w:color w:val="auto"/>
          <w:spacing w:val="-6"/>
          <w:szCs w:val="32"/>
          <w:highlight w:val="none"/>
        </w:rPr>
        <w:t>另按申购房屋建筑面积补贴</w:t>
      </w:r>
      <w:r>
        <w:rPr>
          <w:rFonts w:hint="eastAsia" w:ascii="仿宋" w:hAnsi="仿宋" w:cs="仿宋_GB2312"/>
          <w:color w:val="auto"/>
          <w:spacing w:val="-6"/>
          <w:szCs w:val="32"/>
          <w:highlight w:val="none"/>
          <w:lang w:val="en-US" w:eastAsia="zh-CN"/>
        </w:rPr>
        <w:t>14200</w:t>
      </w:r>
      <w:r>
        <w:rPr>
          <w:rFonts w:hint="eastAsia" w:ascii="仿宋" w:hAnsi="仿宋" w:cs="仿宋_GB2312"/>
          <w:color w:val="auto"/>
          <w:spacing w:val="-6"/>
          <w:szCs w:val="32"/>
          <w:highlight w:val="none"/>
        </w:rPr>
        <w:t>元/平方米</w:t>
      </w:r>
      <w:r>
        <w:rPr>
          <w:rFonts w:hint="eastAsia" w:ascii="仿宋" w:hAnsi="仿宋"/>
          <w:color w:val="auto"/>
          <w:spacing w:val="-6"/>
          <w:szCs w:val="32"/>
          <w:highlight w:val="none"/>
        </w:rPr>
        <w:t>；</w:t>
      </w:r>
    </w:p>
    <w:p w14:paraId="0413FDD6">
      <w:pPr>
        <w:keepNext w:val="0"/>
        <w:keepLines w:val="0"/>
        <w:pageBreakBefore w:val="0"/>
        <w:widowControl w:val="0"/>
        <w:numPr>
          <w:ilvl w:val="0"/>
          <w:numId w:val="1"/>
        </w:numPr>
        <w:kinsoku/>
        <w:overflowPunct/>
        <w:topLinePunct w:val="0"/>
        <w:autoSpaceDE/>
        <w:autoSpaceDN/>
        <w:bidi w:val="0"/>
        <w:snapToGrid w:val="0"/>
        <w:spacing w:line="480" w:lineRule="exact"/>
        <w:ind w:left="0" w:leftChars="0"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闵行区马桥景城馨苑</w:t>
      </w:r>
      <w:r>
        <w:rPr>
          <w:rFonts w:hint="eastAsia" w:ascii="仿宋" w:hAnsi="仿宋"/>
          <w:color w:val="auto"/>
          <w:spacing w:val="-6"/>
          <w:szCs w:val="32"/>
          <w:highlight w:val="none"/>
          <w:lang w:eastAsia="zh-CN"/>
        </w:rPr>
        <w:t>，使用均价</w:t>
      </w:r>
      <w:r>
        <w:rPr>
          <w:rFonts w:hint="eastAsia" w:ascii="仿宋" w:hAnsi="仿宋"/>
          <w:color w:val="auto"/>
          <w:spacing w:val="-6"/>
          <w:szCs w:val="32"/>
          <w:highlight w:val="none"/>
          <w:lang w:val="en-US" w:eastAsia="zh-CN"/>
        </w:rPr>
        <w:t>27400元/平方米，</w:t>
      </w:r>
      <w:r>
        <w:rPr>
          <w:rFonts w:hint="eastAsia" w:ascii="仿宋" w:hAnsi="仿宋"/>
          <w:color w:val="auto"/>
          <w:spacing w:val="-6"/>
          <w:szCs w:val="32"/>
          <w:highlight w:val="none"/>
        </w:rPr>
        <w:t>一房一价</w:t>
      </w:r>
      <w:r>
        <w:rPr>
          <w:rFonts w:hint="eastAsia" w:ascii="仿宋" w:hAnsi="仿宋"/>
          <w:color w:val="auto"/>
          <w:spacing w:val="-6"/>
          <w:szCs w:val="32"/>
          <w:highlight w:val="none"/>
          <w:lang w:eastAsia="zh-CN"/>
        </w:rPr>
        <w:t>，</w:t>
      </w:r>
      <w:r>
        <w:rPr>
          <w:rFonts w:hint="eastAsia" w:ascii="仿宋" w:hAnsi="仿宋" w:cs="仿宋_GB2312"/>
          <w:color w:val="auto"/>
          <w:spacing w:val="-6"/>
          <w:szCs w:val="32"/>
          <w:highlight w:val="none"/>
        </w:rPr>
        <w:t>另按申购房屋建筑面积补贴</w:t>
      </w:r>
      <w:r>
        <w:rPr>
          <w:rFonts w:hint="eastAsia" w:ascii="仿宋" w:hAnsi="仿宋" w:cs="仿宋_GB2312"/>
          <w:color w:val="auto"/>
          <w:spacing w:val="-6"/>
          <w:szCs w:val="32"/>
          <w:highlight w:val="none"/>
          <w:lang w:val="en-US" w:eastAsia="zh-CN"/>
        </w:rPr>
        <w:t>7400元/平方米</w:t>
      </w:r>
      <w:r>
        <w:rPr>
          <w:rFonts w:hint="eastAsia" w:ascii="仿宋" w:hAnsi="仿宋"/>
          <w:color w:val="auto"/>
          <w:spacing w:val="-6"/>
          <w:szCs w:val="32"/>
          <w:highlight w:val="none"/>
        </w:rPr>
        <w:t>；</w:t>
      </w:r>
    </w:p>
    <w:p w14:paraId="79A041D3">
      <w:pPr>
        <w:keepNext w:val="0"/>
        <w:keepLines w:val="0"/>
        <w:pageBreakBefore w:val="0"/>
        <w:widowControl w:val="0"/>
        <w:numPr>
          <w:ilvl w:val="0"/>
          <w:numId w:val="1"/>
        </w:numPr>
        <w:kinsoku/>
        <w:overflowPunct/>
        <w:topLinePunct w:val="0"/>
        <w:autoSpaceDE/>
        <w:autoSpaceDN/>
        <w:bidi w:val="0"/>
        <w:snapToGrid w:val="0"/>
        <w:spacing w:line="480" w:lineRule="exact"/>
        <w:ind w:left="0" w:leftChars="0"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松江区新凯城，</w:t>
      </w:r>
      <w:r>
        <w:rPr>
          <w:rFonts w:hint="eastAsia" w:ascii="仿宋" w:hAnsi="仿宋"/>
          <w:color w:val="auto"/>
          <w:spacing w:val="-6"/>
          <w:szCs w:val="32"/>
          <w:highlight w:val="none"/>
          <w:lang w:eastAsia="zh-CN"/>
        </w:rPr>
        <w:t>使用均价</w:t>
      </w:r>
      <w:r>
        <w:rPr>
          <w:rFonts w:hint="eastAsia" w:ascii="仿宋" w:hAnsi="仿宋"/>
          <w:color w:val="auto"/>
          <w:spacing w:val="-6"/>
          <w:szCs w:val="32"/>
          <w:highlight w:val="none"/>
          <w:lang w:val="en-US" w:eastAsia="zh-CN"/>
        </w:rPr>
        <w:t>27300元/平方米，</w:t>
      </w:r>
      <w:r>
        <w:rPr>
          <w:rFonts w:hint="eastAsia" w:ascii="仿宋" w:hAnsi="仿宋"/>
          <w:color w:val="auto"/>
          <w:spacing w:val="-6"/>
          <w:szCs w:val="32"/>
          <w:highlight w:val="none"/>
        </w:rPr>
        <w:t>一房一价</w:t>
      </w:r>
      <w:r>
        <w:rPr>
          <w:rFonts w:hint="eastAsia" w:ascii="仿宋" w:hAnsi="仿宋"/>
          <w:color w:val="auto"/>
          <w:spacing w:val="-6"/>
          <w:szCs w:val="32"/>
          <w:highlight w:val="none"/>
          <w:lang w:eastAsia="zh-CN"/>
        </w:rPr>
        <w:t>，</w:t>
      </w:r>
      <w:r>
        <w:rPr>
          <w:rFonts w:hint="eastAsia" w:ascii="仿宋" w:hAnsi="仿宋" w:cs="仿宋_GB2312"/>
          <w:color w:val="auto"/>
          <w:spacing w:val="-6"/>
          <w:szCs w:val="32"/>
          <w:highlight w:val="none"/>
        </w:rPr>
        <w:t>另按申购房屋建筑面积补贴</w:t>
      </w:r>
      <w:r>
        <w:rPr>
          <w:rFonts w:hint="eastAsia" w:ascii="仿宋" w:hAnsi="仿宋" w:cs="仿宋_GB2312"/>
          <w:color w:val="auto"/>
          <w:spacing w:val="-6"/>
          <w:szCs w:val="32"/>
          <w:highlight w:val="none"/>
          <w:lang w:val="en-US" w:eastAsia="zh-CN"/>
        </w:rPr>
        <w:t>6300元/平方米</w:t>
      </w:r>
      <w:r>
        <w:rPr>
          <w:rFonts w:hint="eastAsia" w:ascii="仿宋" w:hAnsi="仿宋"/>
          <w:color w:val="auto"/>
          <w:spacing w:val="-6"/>
          <w:szCs w:val="32"/>
          <w:highlight w:val="none"/>
        </w:rPr>
        <w:t>；</w:t>
      </w:r>
    </w:p>
    <w:p w14:paraId="18E017D0">
      <w:pPr>
        <w:keepNext w:val="0"/>
        <w:keepLines w:val="0"/>
        <w:pageBreakBefore w:val="0"/>
        <w:widowControl w:val="0"/>
        <w:numPr>
          <w:ilvl w:val="0"/>
          <w:numId w:val="1"/>
        </w:numPr>
        <w:kinsoku/>
        <w:overflowPunct/>
        <w:topLinePunct w:val="0"/>
        <w:autoSpaceDE/>
        <w:autoSpaceDN/>
        <w:bidi w:val="0"/>
        <w:snapToGrid w:val="0"/>
        <w:spacing w:line="480" w:lineRule="exact"/>
        <w:ind w:left="0" w:leftChars="0"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松江区新松嘉园，</w:t>
      </w:r>
      <w:r>
        <w:rPr>
          <w:rFonts w:hint="eastAsia" w:ascii="仿宋" w:hAnsi="仿宋"/>
          <w:color w:val="auto"/>
          <w:spacing w:val="-6"/>
          <w:szCs w:val="32"/>
          <w:highlight w:val="none"/>
          <w:lang w:eastAsia="zh-CN"/>
        </w:rPr>
        <w:t>使用均价</w:t>
      </w:r>
      <w:r>
        <w:rPr>
          <w:rFonts w:hint="eastAsia" w:ascii="仿宋" w:hAnsi="仿宋"/>
          <w:color w:val="auto"/>
          <w:spacing w:val="-6"/>
          <w:szCs w:val="32"/>
          <w:highlight w:val="none"/>
          <w:lang w:val="en-US" w:eastAsia="zh-CN"/>
        </w:rPr>
        <w:t>27300元/平方米，</w:t>
      </w:r>
      <w:r>
        <w:rPr>
          <w:rFonts w:hint="eastAsia" w:ascii="仿宋" w:hAnsi="仿宋"/>
          <w:color w:val="auto"/>
          <w:spacing w:val="-6"/>
          <w:szCs w:val="32"/>
          <w:highlight w:val="none"/>
        </w:rPr>
        <w:t>一房一价</w:t>
      </w:r>
      <w:r>
        <w:rPr>
          <w:rFonts w:hint="eastAsia" w:ascii="仿宋" w:hAnsi="仿宋"/>
          <w:color w:val="auto"/>
          <w:spacing w:val="-6"/>
          <w:szCs w:val="32"/>
          <w:highlight w:val="none"/>
          <w:lang w:eastAsia="zh-CN"/>
        </w:rPr>
        <w:t>，</w:t>
      </w:r>
      <w:r>
        <w:rPr>
          <w:rFonts w:hint="eastAsia" w:ascii="仿宋" w:hAnsi="仿宋" w:cs="仿宋_GB2312"/>
          <w:color w:val="auto"/>
          <w:spacing w:val="-6"/>
          <w:szCs w:val="32"/>
          <w:highlight w:val="none"/>
        </w:rPr>
        <w:t>另按申购房屋建筑面积补贴</w:t>
      </w:r>
      <w:r>
        <w:rPr>
          <w:rFonts w:hint="eastAsia" w:ascii="仿宋" w:hAnsi="仿宋" w:cs="仿宋_GB2312"/>
          <w:color w:val="auto"/>
          <w:spacing w:val="-6"/>
          <w:szCs w:val="32"/>
          <w:highlight w:val="none"/>
          <w:lang w:val="en-US" w:eastAsia="zh-CN"/>
        </w:rPr>
        <w:t>9300元/平方米</w:t>
      </w:r>
      <w:r>
        <w:rPr>
          <w:rFonts w:hint="eastAsia" w:ascii="仿宋" w:hAnsi="仿宋"/>
          <w:color w:val="auto"/>
          <w:spacing w:val="-6"/>
          <w:szCs w:val="32"/>
          <w:highlight w:val="none"/>
        </w:rPr>
        <w:t>（仅限符合条件的居住困难户申购）。</w:t>
      </w:r>
    </w:p>
    <w:p w14:paraId="0A84A985">
      <w:pPr>
        <w:keepNext w:val="0"/>
        <w:keepLines w:val="0"/>
        <w:pageBreakBefore w:val="0"/>
        <w:widowControl w:val="0"/>
        <w:kinsoku/>
        <w:overflowPunct/>
        <w:topLinePunct w:val="0"/>
        <w:autoSpaceDE/>
        <w:autoSpaceDN/>
        <w:bidi w:val="0"/>
        <w:adjustRightInd w:val="0"/>
        <w:snapToGrid w:val="0"/>
        <w:spacing w:line="480" w:lineRule="exact"/>
        <w:ind w:firstLine="619" w:firstLineChars="200"/>
        <w:textAlignment w:val="auto"/>
        <w:rPr>
          <w:rFonts w:hint="eastAsia" w:ascii="仿宋" w:hAnsi="仿宋"/>
          <w:b/>
          <w:bCs/>
          <w:color w:val="auto"/>
          <w:spacing w:val="-6"/>
          <w:szCs w:val="32"/>
          <w:highlight w:val="none"/>
        </w:rPr>
      </w:pPr>
      <w:r>
        <w:rPr>
          <w:rFonts w:hint="eastAsia" w:ascii="仿宋" w:hAnsi="仿宋"/>
          <w:b/>
          <w:bCs/>
          <w:color w:val="auto"/>
          <w:spacing w:val="-6"/>
          <w:szCs w:val="32"/>
          <w:highlight w:val="none"/>
        </w:rPr>
        <w:t>2.本地块用于非居住房屋产权调换的房屋</w:t>
      </w:r>
    </w:p>
    <w:p w14:paraId="1B7052FD">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具体房源地址、面积、价格等另行公布。</w:t>
      </w:r>
    </w:p>
    <w:p w14:paraId="0F1D7B4C">
      <w:pPr>
        <w:keepNext w:val="0"/>
        <w:keepLines w:val="0"/>
        <w:pageBreakBefore w:val="0"/>
        <w:widowControl w:val="0"/>
        <w:kinsoku/>
        <w:overflowPunct/>
        <w:topLinePunct w:val="0"/>
        <w:autoSpaceDE/>
        <w:autoSpaceDN/>
        <w:bidi w:val="0"/>
        <w:adjustRightInd w:val="0"/>
        <w:snapToGrid w:val="0"/>
        <w:spacing w:line="480" w:lineRule="exact"/>
        <w:ind w:firstLine="619" w:firstLineChars="200"/>
        <w:textAlignment w:val="auto"/>
        <w:rPr>
          <w:rFonts w:hint="eastAsia" w:ascii="仿宋" w:hAnsi="仿宋"/>
          <w:b/>
          <w:bCs/>
          <w:color w:val="auto"/>
          <w:spacing w:val="-6"/>
          <w:szCs w:val="32"/>
          <w:highlight w:val="none"/>
        </w:rPr>
      </w:pPr>
      <w:r>
        <w:rPr>
          <w:rFonts w:hint="eastAsia" w:ascii="仿宋" w:hAnsi="仿宋"/>
          <w:b/>
          <w:bCs/>
          <w:color w:val="auto"/>
          <w:spacing w:val="-6"/>
          <w:szCs w:val="32"/>
          <w:highlight w:val="none"/>
        </w:rPr>
        <w:t>3.本地块用于征收补偿决定的房源</w:t>
      </w:r>
    </w:p>
    <w:p w14:paraId="446252EB">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夏朵小城（银春路1799弄）等，按房地产市场评估价使用。</w:t>
      </w:r>
    </w:p>
    <w:p w14:paraId="69AEA4B1">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以上房源具体地址、面积、价格等另行公布。</w:t>
      </w:r>
    </w:p>
    <w:p w14:paraId="642BD595">
      <w:pPr>
        <w:keepNext w:val="0"/>
        <w:keepLines w:val="0"/>
        <w:pageBreakBefore w:val="0"/>
        <w:widowControl w:val="0"/>
        <w:kinsoku/>
        <w:overflowPunct/>
        <w:topLinePunct w:val="0"/>
        <w:autoSpaceDE/>
        <w:autoSpaceDN/>
        <w:bidi w:val="0"/>
        <w:adjustRightInd w:val="0"/>
        <w:snapToGrid w:val="0"/>
        <w:spacing w:line="480" w:lineRule="exact"/>
        <w:ind w:firstLine="619" w:firstLineChars="200"/>
        <w:textAlignment w:val="auto"/>
        <w:rPr>
          <w:rFonts w:hint="eastAsia" w:ascii="仿宋" w:hAnsi="仿宋"/>
          <w:b/>
          <w:bCs/>
          <w:color w:val="auto"/>
          <w:spacing w:val="-6"/>
          <w:szCs w:val="32"/>
          <w:highlight w:val="none"/>
        </w:rPr>
      </w:pPr>
      <w:r>
        <w:rPr>
          <w:rFonts w:hint="eastAsia" w:ascii="仿宋" w:hAnsi="仿宋"/>
          <w:b/>
          <w:bCs/>
          <w:color w:val="auto"/>
          <w:spacing w:val="-6"/>
          <w:szCs w:val="32"/>
          <w:highlight w:val="none"/>
        </w:rPr>
        <w:t>4.房屋产权调换选购方法</w:t>
      </w:r>
    </w:p>
    <w:p w14:paraId="72317E55">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（1）凡选择本地块产权调换房源的被征收人、公有房屋承租人，必须按规定签订房屋征收补偿协议。</w:t>
      </w:r>
    </w:p>
    <w:p w14:paraId="26707B5B">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2）每证原则上限在本地块公示的产权调换房屋中申购1套房源。被征收的为居住房屋的，限申购居住安置房源。被征收的为非居住房屋的，限申购非居住安置房源。被征收的为居非兼用房屋的，限申购1套居住安置房源。</w:t>
      </w:r>
    </w:p>
    <w:p w14:paraId="114607B4">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（3）被征收的为居住房屋的，申购本地块产权调换房屋的总价不得超过被征收房屋补偿金额（即被征收房屋的评估价格+价格补贴+套型面积补贴或成套价格补贴，本方案有特别规定的，从其规定）。</w:t>
      </w:r>
    </w:p>
    <w:p w14:paraId="34EEA991">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（4）符合条件的居住困难户，增加的困难户保障补贴可用于申购本地块公示的征收安置房源（仅限松江区新松嘉园）。</w:t>
      </w:r>
    </w:p>
    <w:p w14:paraId="7B712ABB">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（5）被征收的为非居住房屋的，申购本地块产权调换房屋的总价不得超过被征收房屋的补偿金额（即被征收房屋的评估价格）。</w:t>
      </w:r>
    </w:p>
    <w:p w14:paraId="5A1ABA64">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（6）实行“先签约、先选择、先购买”原则，购完为止。</w:t>
      </w:r>
    </w:p>
    <w:p w14:paraId="6C9054EA">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（7）签约期结束后，根据实际房源使用情况退回多余的房源。</w:t>
      </w:r>
    </w:p>
    <w:p w14:paraId="0458105B">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房屋产权调换选购办法以具体选房办法为准，具体选房办法另行公布。</w:t>
      </w:r>
    </w:p>
    <w:p w14:paraId="6A3F4018">
      <w:pPr>
        <w:keepNext w:val="0"/>
        <w:keepLines w:val="0"/>
        <w:pageBreakBefore w:val="0"/>
        <w:widowControl w:val="0"/>
        <w:kinsoku/>
        <w:overflowPunct/>
        <w:topLinePunct w:val="0"/>
        <w:autoSpaceDE/>
        <w:autoSpaceDN/>
        <w:bidi w:val="0"/>
        <w:spacing w:line="480" w:lineRule="exact"/>
        <w:ind w:firstLine="640" w:firstLineChars="200"/>
        <w:textAlignment w:val="auto"/>
        <w:rPr>
          <w:rFonts w:hint="eastAsia" w:ascii="黑体" w:hAnsi="黑体" w:eastAsia="黑体"/>
          <w:bCs/>
          <w:color w:val="auto"/>
          <w:szCs w:val="32"/>
          <w:highlight w:val="none"/>
        </w:rPr>
      </w:pPr>
      <w:r>
        <w:rPr>
          <w:rFonts w:hint="eastAsia" w:ascii="黑体" w:hAnsi="黑体" w:eastAsia="黑体"/>
          <w:bCs/>
          <w:color w:val="auto"/>
          <w:szCs w:val="32"/>
          <w:highlight w:val="none"/>
        </w:rPr>
        <w:t>十五、房屋征收评估机构</w:t>
      </w:r>
    </w:p>
    <w:p w14:paraId="18A2DFD0">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eastAsia="仿宋_GB2312"/>
          <w:spacing w:val="-6"/>
          <w:sz w:val="32"/>
          <w:szCs w:val="32"/>
          <w:highlight w:val="none"/>
        </w:rPr>
        <w:t>房屋征收评估机构：上海联</w:t>
      </w:r>
      <w:r>
        <w:rPr>
          <w:rFonts w:hint="eastAsia" w:ascii="仿宋" w:hAnsi="仿宋"/>
          <w:spacing w:val="-6"/>
          <w:sz w:val="32"/>
          <w:szCs w:val="32"/>
          <w:highlight w:val="none"/>
          <w:lang w:val="en-US" w:eastAsia="zh-CN"/>
        </w:rPr>
        <w:t>城</w:t>
      </w:r>
      <w:r>
        <w:rPr>
          <w:rFonts w:hint="eastAsia" w:ascii="仿宋" w:hAnsi="仿宋" w:eastAsia="仿宋_GB2312"/>
          <w:spacing w:val="-6"/>
          <w:sz w:val="32"/>
          <w:szCs w:val="32"/>
          <w:highlight w:val="none"/>
        </w:rPr>
        <w:t>房地产评估咨询有限公司</w:t>
      </w:r>
    </w:p>
    <w:p w14:paraId="74983068">
      <w:pPr>
        <w:keepNext w:val="0"/>
        <w:keepLines w:val="0"/>
        <w:pageBreakBefore w:val="0"/>
        <w:widowControl w:val="0"/>
        <w:kinsoku/>
        <w:overflowPunct/>
        <w:topLinePunct w:val="0"/>
        <w:autoSpaceDE/>
        <w:autoSpaceDN/>
        <w:bidi w:val="0"/>
        <w:spacing w:line="480" w:lineRule="exact"/>
        <w:ind w:firstLine="640" w:firstLineChars="200"/>
        <w:textAlignment w:val="auto"/>
        <w:rPr>
          <w:rFonts w:hint="eastAsia" w:ascii="黑体" w:hAnsi="黑体" w:eastAsia="黑体"/>
          <w:bCs/>
          <w:color w:val="auto"/>
          <w:szCs w:val="32"/>
          <w:highlight w:val="none"/>
        </w:rPr>
      </w:pPr>
      <w:r>
        <w:rPr>
          <w:rFonts w:hint="eastAsia" w:ascii="黑体" w:hAnsi="黑体" w:eastAsia="黑体"/>
          <w:bCs/>
          <w:color w:val="auto"/>
          <w:szCs w:val="32"/>
          <w:highlight w:val="none"/>
        </w:rPr>
        <w:t>十六、征收部门及受委托的房屋征收事务所</w:t>
      </w:r>
    </w:p>
    <w:p w14:paraId="378DE1F3">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征收部门：上海市徐汇区住房保障和房屋管理局</w:t>
      </w:r>
    </w:p>
    <w:p w14:paraId="788D493D">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受委托的房屋征收事务所：上海市徐汇第一房屋征收服务事务所有限公司</w:t>
      </w:r>
    </w:p>
    <w:p w14:paraId="551077D3">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现场办公地址：龙华西路127号-1、4室旧改项目接待点</w:t>
      </w:r>
    </w:p>
    <w:p w14:paraId="109F31A1">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现场办公时间：周一至周日9:00至21:00</w:t>
      </w:r>
    </w:p>
    <w:p w14:paraId="3327005E">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办公电话：18964181865</w:t>
      </w:r>
    </w:p>
    <w:p w14:paraId="55CA5088">
      <w:pPr>
        <w:keepNext w:val="0"/>
        <w:keepLines w:val="0"/>
        <w:pageBreakBefore w:val="0"/>
        <w:widowControl w:val="0"/>
        <w:kinsoku/>
        <w:overflowPunct/>
        <w:topLinePunct w:val="0"/>
        <w:autoSpaceDE/>
        <w:autoSpaceDN/>
        <w:bidi w:val="0"/>
        <w:spacing w:line="480" w:lineRule="exact"/>
        <w:ind w:firstLine="640" w:firstLineChars="200"/>
        <w:textAlignment w:val="auto"/>
        <w:rPr>
          <w:rFonts w:hint="eastAsia" w:ascii="黑体" w:hAnsi="黑体" w:eastAsia="黑体"/>
          <w:bCs/>
          <w:color w:val="auto"/>
          <w:szCs w:val="32"/>
          <w:highlight w:val="none"/>
        </w:rPr>
      </w:pPr>
      <w:r>
        <w:rPr>
          <w:rFonts w:hint="eastAsia" w:ascii="黑体" w:hAnsi="黑体" w:eastAsia="黑体"/>
          <w:bCs/>
          <w:color w:val="auto"/>
          <w:szCs w:val="32"/>
          <w:highlight w:val="none"/>
        </w:rPr>
        <w:t>十七、其他事项</w:t>
      </w:r>
    </w:p>
    <w:p w14:paraId="130EFD81">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1.房屋征收补偿协议应当由房屋征收部门与被征收人、公有房屋承租人签订。签订征收补偿协议的被征收人、公有房屋承租人应当负责安置房屋使用人、共同居住人。若上述签约人因故不能亲自签约，可依法委托他人签约，必须提供委托双方在征收事务所工作人员的见证下当面签名盖章的书面委托书或经公证机关公证的委托书。</w:t>
      </w:r>
    </w:p>
    <w:p w14:paraId="3A47A71A">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2.房屋征收补偿协议签订后，被征收人、公有房屋承租人应当在征收补偿协议或者房屋征收补偿决定确定的搬迁期限内搬迁，并负责将房屋使用人和共同居住人迁出。房屋使用人或共同居住人未迁出的，视同被征收人、公有房屋承租人未完成搬迁。</w:t>
      </w:r>
    </w:p>
    <w:p w14:paraId="6E42B017">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3.根据《关于加强本市房屋征收（拆迁）基地水、电、燃气等公共设施使用管理的通知》（沪建交联〔2011〕846号）规定，房屋征收补偿协议签订后，被征收人、公有房屋承租人在房屋征收补偿协议或者房屋征收补偿决定确定的搬迁期间内完成搬迁后，应当在房屋征收部门与被征收人、公有房屋承租人结算征收补偿费用前结清被征收房屋的水、电、燃气等相关费用，房屋征收部门在收到相应支付凭证后按协议约定期限支付货币款。</w:t>
      </w:r>
    </w:p>
    <w:p w14:paraId="47308CDC">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4.本房屋征收与补偿方案中的货币单位为人民币。</w:t>
      </w:r>
    </w:p>
    <w:p w14:paraId="2D80405D">
      <w:pPr>
        <w:keepNext w:val="0"/>
        <w:keepLines w:val="0"/>
        <w:pageBreakBefore w:val="0"/>
        <w:widowControl w:val="0"/>
        <w:kinsoku/>
        <w:overflowPunct/>
        <w:topLinePunct w:val="0"/>
        <w:autoSpaceDE/>
        <w:autoSpaceDN/>
        <w:bidi w:val="0"/>
        <w:spacing w:line="480" w:lineRule="exact"/>
        <w:ind w:firstLine="619" w:firstLineChars="200"/>
        <w:textAlignment w:val="auto"/>
        <w:rPr>
          <w:rFonts w:hint="eastAsia" w:ascii="仿宋" w:hAnsi="仿宋"/>
          <w:b/>
          <w:bCs/>
          <w:color w:val="auto"/>
          <w:spacing w:val="-6"/>
          <w:szCs w:val="32"/>
          <w:highlight w:val="none"/>
        </w:rPr>
      </w:pPr>
      <w:r>
        <w:rPr>
          <w:rFonts w:hint="eastAsia" w:ascii="仿宋" w:hAnsi="仿宋"/>
          <w:b/>
          <w:bCs/>
          <w:color w:val="auto"/>
          <w:spacing w:val="-6"/>
          <w:szCs w:val="32"/>
          <w:highlight w:val="none"/>
        </w:rPr>
        <w:t>特别告知：</w:t>
      </w:r>
    </w:p>
    <w:p w14:paraId="6EA4BA09">
      <w:pPr>
        <w:keepNext w:val="0"/>
        <w:keepLines w:val="0"/>
        <w:pageBreakBefore w:val="0"/>
        <w:widowControl w:val="0"/>
        <w:kinsoku/>
        <w:overflowPunct/>
        <w:topLinePunct w:val="0"/>
        <w:autoSpaceDE/>
        <w:autoSpaceDN/>
        <w:bidi w:val="0"/>
        <w:spacing w:line="480" w:lineRule="exact"/>
        <w:ind w:firstLine="619" w:firstLineChars="200"/>
        <w:textAlignment w:val="auto"/>
        <w:rPr>
          <w:rFonts w:hint="eastAsia" w:ascii="仿宋" w:hAnsi="仿宋"/>
          <w:b/>
          <w:bCs/>
          <w:color w:val="auto"/>
          <w:spacing w:val="-6"/>
          <w:szCs w:val="32"/>
          <w:highlight w:val="none"/>
        </w:rPr>
      </w:pPr>
      <w:r>
        <w:rPr>
          <w:rFonts w:hint="eastAsia" w:ascii="仿宋" w:hAnsi="仿宋"/>
          <w:b/>
          <w:bCs/>
          <w:color w:val="auto"/>
          <w:spacing w:val="-6"/>
          <w:szCs w:val="32"/>
          <w:highlight w:val="none"/>
        </w:rPr>
        <w:t>1.签约当事人选择货币补偿的，需签订《上海市国有土地上房屋征收补偿协议》；选择申购房屋产权调换的，需签订《上海市国有土地上房屋征收补偿协议》和相关认购材料。</w:t>
      </w:r>
    </w:p>
    <w:p w14:paraId="672B2745">
      <w:pPr>
        <w:keepNext w:val="0"/>
        <w:keepLines w:val="0"/>
        <w:pageBreakBefore w:val="0"/>
        <w:widowControl w:val="0"/>
        <w:kinsoku/>
        <w:overflowPunct/>
        <w:topLinePunct w:val="0"/>
        <w:autoSpaceDE/>
        <w:autoSpaceDN/>
        <w:bidi w:val="0"/>
        <w:spacing w:line="480" w:lineRule="exact"/>
        <w:ind w:firstLine="619" w:firstLineChars="200"/>
        <w:textAlignment w:val="auto"/>
        <w:rPr>
          <w:rFonts w:hint="eastAsia" w:ascii="仿宋" w:hAnsi="仿宋"/>
          <w:b/>
          <w:bCs/>
          <w:color w:val="auto"/>
          <w:spacing w:val="-6"/>
          <w:szCs w:val="32"/>
          <w:highlight w:val="none"/>
        </w:rPr>
      </w:pPr>
      <w:r>
        <w:rPr>
          <w:rFonts w:hint="eastAsia" w:ascii="仿宋" w:hAnsi="仿宋"/>
          <w:b/>
          <w:bCs/>
          <w:color w:val="auto"/>
          <w:spacing w:val="-6"/>
          <w:szCs w:val="32"/>
          <w:highlight w:val="none"/>
        </w:rPr>
        <w:t>2.在征收补偿方案确定的期限内达不成补偿协议或被征收房屋所有权人不明确的，由房屋征收部门报徐汇区人民政府，经徐汇区人民政府作出房屋征收补偿决定。用于征收补偿决定房源的具体房源地址、面积、安置价格等另行公布。房屋征收补偿决定以市场价值调换房源进行补偿，不再享受征收安置房源使用定价等征收安置房方案。</w:t>
      </w:r>
    </w:p>
    <w:p w14:paraId="5F67AE21">
      <w:pPr>
        <w:keepNext w:val="0"/>
        <w:keepLines w:val="0"/>
        <w:pageBreakBefore w:val="0"/>
        <w:widowControl w:val="0"/>
        <w:kinsoku/>
        <w:overflowPunct/>
        <w:topLinePunct w:val="0"/>
        <w:autoSpaceDE/>
        <w:autoSpaceDN/>
        <w:bidi w:val="0"/>
        <w:snapToGrid w:val="0"/>
        <w:spacing w:line="480" w:lineRule="exact"/>
        <w:ind w:firstLine="616" w:firstLineChars="200"/>
        <w:jc w:val="right"/>
        <w:textAlignment w:val="auto"/>
        <w:rPr>
          <w:rFonts w:hint="eastAsia" w:ascii="仿宋" w:hAnsi="仿宋"/>
          <w:color w:val="auto"/>
          <w:spacing w:val="-6"/>
          <w:szCs w:val="32"/>
          <w:highlight w:val="none"/>
        </w:rPr>
      </w:pPr>
    </w:p>
    <w:p w14:paraId="49DB55AC">
      <w:pPr>
        <w:keepNext w:val="0"/>
        <w:keepLines w:val="0"/>
        <w:pageBreakBefore w:val="0"/>
        <w:widowControl w:val="0"/>
        <w:kinsoku/>
        <w:overflowPunct/>
        <w:topLinePunct w:val="0"/>
        <w:autoSpaceDE/>
        <w:autoSpaceDN/>
        <w:bidi w:val="0"/>
        <w:snapToGrid w:val="0"/>
        <w:spacing w:line="480" w:lineRule="exact"/>
        <w:ind w:firstLine="616" w:firstLineChars="200"/>
        <w:jc w:val="right"/>
        <w:textAlignment w:val="auto"/>
        <w:rPr>
          <w:rFonts w:hint="eastAsia" w:ascii="仿宋" w:hAnsi="仿宋"/>
          <w:color w:val="auto"/>
          <w:spacing w:val="-6"/>
          <w:szCs w:val="32"/>
          <w:highlight w:val="none"/>
        </w:rPr>
      </w:pPr>
    </w:p>
    <w:p w14:paraId="2CD01672">
      <w:pPr>
        <w:wordWrap w:val="0"/>
        <w:spacing w:line="500" w:lineRule="exact"/>
        <w:ind w:firstLine="616" w:firstLineChars="200"/>
        <w:jc w:val="right"/>
        <w:rPr>
          <w:rFonts w:hint="default" w:ascii="仿宋" w:hAnsi="仿宋" w:eastAsia="仿宋"/>
          <w:spacing w:val="-6"/>
          <w:szCs w:val="32"/>
          <w:highlight w:val="none"/>
          <w:lang w:val="en-US" w:eastAsia="zh-CN"/>
        </w:rPr>
      </w:pPr>
      <w:r>
        <w:rPr>
          <w:rFonts w:hint="eastAsia" w:ascii="仿宋" w:hAnsi="仿宋" w:eastAsia="仿宋"/>
          <w:spacing w:val="-6"/>
          <w:szCs w:val="32"/>
          <w:highlight w:val="none"/>
        </w:rPr>
        <w:t>上海市徐汇区人民政府</w:t>
      </w:r>
    </w:p>
    <w:p w14:paraId="385C5BA3">
      <w:pPr>
        <w:wordWrap w:val="0"/>
        <w:snapToGrid w:val="0"/>
        <w:spacing w:line="480" w:lineRule="exact"/>
        <w:ind w:firstLine="616" w:firstLineChars="200"/>
        <w:jc w:val="right"/>
        <w:rPr>
          <w:rFonts w:hint="eastAsia" w:ascii="仿宋" w:hAnsi="仿宋"/>
          <w:color w:val="auto"/>
          <w:spacing w:val="-6"/>
          <w:szCs w:val="32"/>
          <w:highlight w:val="none"/>
        </w:rPr>
      </w:pPr>
      <w:r>
        <w:rPr>
          <w:rFonts w:hint="eastAsia" w:ascii="仿宋" w:hAnsi="仿宋"/>
          <w:color w:val="auto"/>
          <w:spacing w:val="-6"/>
          <w:szCs w:val="32"/>
          <w:highlight w:val="none"/>
          <w:lang w:val="en-US" w:eastAsia="zh-CN"/>
        </w:rPr>
        <w:t xml:space="preserve"> </w:t>
      </w:r>
      <w:r>
        <w:rPr>
          <w:rFonts w:hint="eastAsia" w:ascii="仿宋" w:hAnsi="仿宋"/>
          <w:color w:val="auto"/>
          <w:spacing w:val="-6"/>
          <w:szCs w:val="32"/>
          <w:highlight w:val="none"/>
        </w:rPr>
        <w:t>2025年</w:t>
      </w:r>
      <w:r>
        <w:rPr>
          <w:rFonts w:hint="eastAsia" w:ascii="仿宋" w:hAnsi="仿宋"/>
          <w:color w:val="auto"/>
          <w:spacing w:val="-6"/>
          <w:szCs w:val="32"/>
          <w:highlight w:val="none"/>
          <w:lang w:val="en-US" w:eastAsia="zh-CN"/>
        </w:rPr>
        <w:t>6</w:t>
      </w:r>
      <w:r>
        <w:rPr>
          <w:rFonts w:hint="eastAsia" w:ascii="仿宋" w:hAnsi="仿宋"/>
          <w:color w:val="auto"/>
          <w:spacing w:val="-6"/>
          <w:szCs w:val="32"/>
          <w:highlight w:val="none"/>
        </w:rPr>
        <w:t>月</w:t>
      </w:r>
      <w:r>
        <w:rPr>
          <w:rFonts w:hint="eastAsia" w:ascii="仿宋" w:hAnsi="仿宋"/>
          <w:color w:val="auto"/>
          <w:spacing w:val="-6"/>
          <w:szCs w:val="32"/>
          <w:highlight w:val="none"/>
          <w:lang w:val="en-US" w:eastAsia="zh-CN"/>
        </w:rPr>
        <w:t>19</w:t>
      </w:r>
      <w:r>
        <w:rPr>
          <w:rFonts w:hint="eastAsia" w:ascii="仿宋" w:hAnsi="仿宋"/>
          <w:color w:val="auto"/>
          <w:spacing w:val="-6"/>
          <w:szCs w:val="32"/>
          <w:highlight w:val="none"/>
        </w:rPr>
        <w:t>日</w:t>
      </w:r>
      <w:r>
        <w:rPr>
          <w:rFonts w:hint="eastAsia" w:ascii="仿宋" w:hAnsi="仿宋"/>
          <w:color w:val="auto"/>
          <w:spacing w:val="-6"/>
          <w:szCs w:val="32"/>
          <w:highlight w:val="none"/>
          <w:lang w:val="en-US" w:eastAsia="zh-CN"/>
        </w:rPr>
        <w:t xml:space="preserve">  </w:t>
      </w:r>
    </w:p>
    <w:sectPr>
      <w:footerReference r:id="rId3"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678AE5">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81EC5B">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5881EC5B">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1B7638"/>
    <w:multiLevelType w:val="singleLevel"/>
    <w:tmpl w:val="061B7638"/>
    <w:lvl w:ilvl="0" w:tentative="0">
      <w:start w:val="1"/>
      <w:numFmt w:val="decimalEnclosedCircleChinese"/>
      <w:suff w:val="nothing"/>
      <w:lvlText w:val="%1　"/>
      <w:lvlJc w:val="left"/>
      <w:pPr>
        <w:ind w:left="0" w:firstLine="4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D405821"/>
    <w:rsid w:val="094650F7"/>
    <w:rsid w:val="0AEB2CB8"/>
    <w:rsid w:val="0FB110A2"/>
    <w:rsid w:val="16414353"/>
    <w:rsid w:val="1A7656D6"/>
    <w:rsid w:val="25663CBD"/>
    <w:rsid w:val="307D3EE2"/>
    <w:rsid w:val="31AA329C"/>
    <w:rsid w:val="34670FD0"/>
    <w:rsid w:val="3BA0311F"/>
    <w:rsid w:val="3E62775D"/>
    <w:rsid w:val="3F4674F2"/>
    <w:rsid w:val="3F976AA5"/>
    <w:rsid w:val="431A59DA"/>
    <w:rsid w:val="45986FF6"/>
    <w:rsid w:val="47595622"/>
    <w:rsid w:val="4D405821"/>
    <w:rsid w:val="4F157929"/>
    <w:rsid w:val="5268268C"/>
    <w:rsid w:val="5A9D4E9D"/>
    <w:rsid w:val="5B056DDE"/>
    <w:rsid w:val="5CEA77FF"/>
    <w:rsid w:val="5E7F6A72"/>
    <w:rsid w:val="615C3A23"/>
    <w:rsid w:val="6BF07AC4"/>
    <w:rsid w:val="6D533223"/>
    <w:rsid w:val="6D8117F6"/>
    <w:rsid w:val="71C330E1"/>
    <w:rsid w:val="72722DAE"/>
    <w:rsid w:val="77152E8D"/>
    <w:rsid w:val="7A670E17"/>
    <w:rsid w:val="7BCB7003"/>
    <w:rsid w:val="7DA600C0"/>
    <w:rsid w:val="7EBF7A40"/>
    <w:rsid w:val="7F745E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仿宋_GB2312" w:asciiTheme="minorHAnsi" w:hAnsiTheme="minorHAnsi" w:cstheme="minorBidi"/>
      <w:kern w:val="2"/>
      <w:sz w:val="32"/>
      <w:szCs w:val="22"/>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CCE8C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7567</Words>
  <Characters>7911</Characters>
  <Lines>0</Lines>
  <Paragraphs>0</Paragraphs>
  <TotalTime>2</TotalTime>
  <ScaleCrop>false</ScaleCrop>
  <LinksUpToDate>false</LinksUpToDate>
  <CharactersWithSpaces>7918</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2025-04-16T01:55:00Z</dcterms:created>
  <dc:creator>Joyce</dc:creator>
  <cp:lastModifiedBy>Joyce</cp:lastModifiedBy>
  <cp:lastPrinted>2025-05-13T07:16:00Z</cp:lastPrinted>
  <dcterms:modified xsi:type="dcterms:W3CDTF">2025-06-17T06:38:11Z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A097EA24BA704E5FB594DDC95AC69670_13</vt:lpwstr>
  </property>
  <property fmtid="{D5CDD505-2E9C-101B-9397-08002B2CF9AE}" pid="4" name="KSOTemplateDocerSaveRecord">
    <vt:lpwstr>eyJoZGlkIjoiZTI1MzI5OWNmZDU4ZDQ1ZWM5ZDY0ZTY0MzViZTkzZDciLCJ1c2VySWQiOiI0ODA0MDYwNzgifQ==</vt:lpwstr>
  </property>
</Properties>
</file>