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8D18C">
      <w:pPr>
        <w:snapToGrid/>
        <w:spacing w:line="576" w:lineRule="exact"/>
        <w:jc w:val="left"/>
        <w:rPr>
          <w:rFonts w:hint="eastAsia" w:ascii="黑体" w:hAnsi="黑体" w:eastAsia="黑体" w:cs="黑体"/>
          <w:b/>
          <w:bCs/>
          <w:sz w:val="40"/>
          <w:szCs w:val="40"/>
          <w:lang w:val="en-US" w:eastAsia="zh-CN"/>
        </w:rPr>
      </w:pPr>
      <w:r>
        <w:rPr>
          <w:rFonts w:hint="eastAsia" w:ascii="黑体" w:hAnsi="黑体" w:eastAsia="黑体" w:cs="黑体"/>
          <w:bCs/>
          <w:sz w:val="32"/>
          <w:szCs w:val="32"/>
        </w:rPr>
        <w:t>附件</w:t>
      </w:r>
    </w:p>
    <w:p w14:paraId="7DBB82E4">
      <w:pPr>
        <w:snapToGrid/>
        <w:spacing w:line="576" w:lineRule="exact"/>
        <w:jc w:val="left"/>
        <w:rPr>
          <w:rFonts w:hint="eastAsia" w:ascii="黑体" w:hAnsi="黑体" w:eastAsia="黑体" w:cs="黑体"/>
          <w:b/>
          <w:bCs/>
          <w:sz w:val="40"/>
          <w:szCs w:val="40"/>
          <w:lang w:val="en-US" w:eastAsia="zh-CN"/>
        </w:rPr>
      </w:pPr>
    </w:p>
    <w:p w14:paraId="330C6902">
      <w:pPr>
        <w:snapToGrid w:val="0"/>
        <w:spacing w:line="500" w:lineRule="exact"/>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徐汇区江南新村地块旧城区改建项目</w:t>
      </w:r>
    </w:p>
    <w:p w14:paraId="6A9C6F46">
      <w:pPr>
        <w:snapToGrid w:val="0"/>
        <w:spacing w:line="500" w:lineRule="exact"/>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房屋征收与补偿方案</w:t>
      </w:r>
    </w:p>
    <w:p w14:paraId="37C63480">
      <w:pPr>
        <w:snapToGrid w:val="0"/>
        <w:spacing w:line="500" w:lineRule="exact"/>
        <w:jc w:val="center"/>
        <w:rPr>
          <w:rFonts w:hint="eastAsia" w:ascii="黑体" w:hAnsi="黑体" w:eastAsia="黑体" w:cs="黑体"/>
          <w:b/>
          <w:bCs/>
          <w:sz w:val="44"/>
          <w:szCs w:val="44"/>
          <w:lang w:val="en-US" w:eastAsia="zh-CN"/>
        </w:rPr>
      </w:pPr>
    </w:p>
    <w:p w14:paraId="34F5B7F0">
      <w:pPr>
        <w:snapToGrid w:val="0"/>
        <w:spacing w:line="500" w:lineRule="exact"/>
        <w:jc w:val="center"/>
        <w:rPr>
          <w:rFonts w:hint="eastAsia" w:ascii="黑体" w:hAnsi="黑体" w:eastAsia="黑体" w:cs="黑体"/>
          <w:b/>
          <w:bCs/>
          <w:sz w:val="40"/>
          <w:szCs w:val="40"/>
          <w:lang w:val="en-US" w:eastAsia="zh-CN"/>
        </w:rPr>
      </w:pPr>
    </w:p>
    <w:p w14:paraId="0E9B5B71">
      <w:pPr>
        <w:snapToGrid w:val="0"/>
        <w:spacing w:line="500" w:lineRule="exact"/>
        <w:jc w:val="center"/>
        <w:rPr>
          <w:rFonts w:hint="eastAsia" w:ascii="黑体" w:hAnsi="黑体" w:eastAsia="黑体" w:cs="黑体"/>
          <w:b/>
          <w:bCs/>
          <w:sz w:val="40"/>
          <w:szCs w:val="40"/>
          <w:lang w:val="en-US" w:eastAsia="zh-CN"/>
        </w:rPr>
      </w:pPr>
    </w:p>
    <w:p w14:paraId="3C235755">
      <w:pPr>
        <w:snapToGrid w:val="0"/>
        <w:spacing w:line="500" w:lineRule="exact"/>
        <w:jc w:val="center"/>
        <w:rPr>
          <w:rFonts w:hint="eastAsia" w:ascii="黑体" w:hAnsi="黑体" w:eastAsia="黑体" w:cs="黑体"/>
          <w:b/>
          <w:bCs/>
          <w:sz w:val="40"/>
          <w:szCs w:val="40"/>
          <w:lang w:val="en-US" w:eastAsia="zh-CN"/>
        </w:rPr>
      </w:pPr>
    </w:p>
    <w:p w14:paraId="4E38982F">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488EC91D">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9872CA7">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7B314FDF">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6000A2BA">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78FA764">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742CBAD2">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250784E">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00377C1A">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23FEC563">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0BED922E">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016D2456">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25A40C80">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6E7B0937">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622924A2">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12384C23">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b/>
          <w:color w:val="auto"/>
          <w:sz w:val="28"/>
          <w:szCs w:val="28"/>
        </w:rPr>
      </w:pPr>
    </w:p>
    <w:p w14:paraId="2726B61E">
      <w:pPr>
        <w:spacing w:line="500" w:lineRule="exact"/>
        <w:jc w:val="center"/>
        <w:rPr>
          <w:rFonts w:hint="eastAsia" w:ascii="黑体" w:hAnsi="黑体" w:eastAsia="黑体" w:cs="黑体"/>
          <w:szCs w:val="32"/>
        </w:rPr>
      </w:pPr>
      <w:r>
        <w:rPr>
          <w:rFonts w:hint="eastAsia" w:ascii="黑体" w:hAnsi="黑体" w:eastAsia="黑体" w:cs="黑体"/>
          <w:szCs w:val="32"/>
        </w:rPr>
        <w:t>房屋征收部门：上海市徐汇区住房保障和房屋管理局</w:t>
      </w:r>
    </w:p>
    <w:p w14:paraId="2D26DFBC">
      <w:pPr>
        <w:spacing w:line="500" w:lineRule="exact"/>
        <w:jc w:val="center"/>
        <w:rPr>
          <w:rFonts w:hint="eastAsia" w:ascii="黑体" w:hAnsi="黑体" w:eastAsia="黑体" w:cs="黑体"/>
          <w:szCs w:val="32"/>
        </w:rPr>
      </w:pPr>
      <w:r>
        <w:rPr>
          <w:rFonts w:hint="eastAsia" w:ascii="黑体" w:hAnsi="黑体" w:eastAsia="黑体" w:cs="黑体"/>
          <w:szCs w:val="32"/>
        </w:rPr>
        <w:t>实施单位：上海</w:t>
      </w:r>
      <w:r>
        <w:rPr>
          <w:rFonts w:hint="eastAsia" w:ascii="黑体" w:hAnsi="黑体" w:eastAsia="黑体" w:cs="黑体"/>
          <w:szCs w:val="32"/>
          <w:lang w:val="en-US" w:eastAsia="zh-CN"/>
        </w:rPr>
        <w:t>市</w:t>
      </w:r>
      <w:r>
        <w:rPr>
          <w:rFonts w:hint="eastAsia" w:ascii="黑体" w:hAnsi="黑体" w:eastAsia="黑体" w:cs="黑体"/>
          <w:szCs w:val="32"/>
        </w:rPr>
        <w:t>徐汇第</w:t>
      </w:r>
      <w:r>
        <w:rPr>
          <w:rFonts w:hint="eastAsia" w:ascii="黑体" w:hAnsi="黑体" w:eastAsia="黑体" w:cs="黑体"/>
          <w:szCs w:val="32"/>
          <w:lang w:val="en-US" w:eastAsia="zh-CN"/>
        </w:rPr>
        <w:t>一</w:t>
      </w:r>
      <w:r>
        <w:rPr>
          <w:rFonts w:hint="eastAsia" w:ascii="黑体" w:hAnsi="黑体" w:eastAsia="黑体" w:cs="黑体"/>
          <w:szCs w:val="32"/>
        </w:rPr>
        <w:t>房屋征收服务事务所有限公司</w:t>
      </w:r>
    </w:p>
    <w:p w14:paraId="0EF3F046">
      <w:pPr>
        <w:spacing w:line="500" w:lineRule="exact"/>
        <w:jc w:val="center"/>
        <w:rPr>
          <w:rFonts w:hint="eastAsia" w:ascii="黑体" w:hAnsi="黑体" w:eastAsia="黑体" w:cs="黑体"/>
          <w:szCs w:val="32"/>
          <w:lang w:val="en-US" w:eastAsia="zh-CN"/>
        </w:rPr>
        <w:sectPr>
          <w:pgSz w:w="11906" w:h="16838"/>
          <w:pgMar w:top="1440" w:right="1800" w:bottom="1440" w:left="1800" w:header="851" w:footer="992" w:gutter="0"/>
          <w:cols w:space="720" w:num="1"/>
          <w:docGrid w:type="lines" w:linePitch="312" w:charSpace="0"/>
        </w:sectPr>
      </w:pPr>
      <w:r>
        <w:rPr>
          <w:rFonts w:hint="eastAsia" w:ascii="黑体" w:hAnsi="黑体" w:eastAsia="黑体" w:cs="黑体"/>
          <w:szCs w:val="32"/>
        </w:rPr>
        <w:t>202</w:t>
      </w:r>
      <w:r>
        <w:rPr>
          <w:rFonts w:hint="eastAsia" w:ascii="黑体" w:hAnsi="黑体" w:eastAsia="黑体" w:cs="黑体"/>
          <w:szCs w:val="32"/>
          <w:lang w:val="en-US" w:eastAsia="zh-CN"/>
        </w:rPr>
        <w:t>5</w:t>
      </w:r>
      <w:r>
        <w:rPr>
          <w:rFonts w:hint="eastAsia" w:ascii="黑体" w:hAnsi="黑体" w:eastAsia="黑体" w:cs="黑体"/>
          <w:szCs w:val="32"/>
        </w:rPr>
        <w:t>年</w:t>
      </w:r>
      <w:r>
        <w:rPr>
          <w:rFonts w:hint="eastAsia" w:ascii="黑体" w:hAnsi="黑体" w:eastAsia="黑体" w:cs="黑体"/>
          <w:szCs w:val="32"/>
          <w:lang w:val="en-US" w:eastAsia="zh-CN"/>
        </w:rPr>
        <w:t>10</w:t>
      </w:r>
      <w:r>
        <w:rPr>
          <w:rFonts w:hint="eastAsia" w:ascii="黑体" w:hAnsi="黑体" w:eastAsia="黑体" w:cs="黑体"/>
          <w:szCs w:val="32"/>
        </w:rPr>
        <w:t>月</w:t>
      </w:r>
      <w:r>
        <w:rPr>
          <w:rFonts w:hint="eastAsia" w:ascii="黑体" w:hAnsi="黑体" w:eastAsia="黑体" w:cs="黑体"/>
          <w:szCs w:val="32"/>
          <w:lang w:val="en-US" w:eastAsia="zh-CN"/>
        </w:rPr>
        <w:t>22日</w:t>
      </w:r>
    </w:p>
    <w:p w14:paraId="40B022E4">
      <w:pPr>
        <w:keepNext w:val="0"/>
        <w:keepLines w:val="0"/>
        <w:pageBreakBefore w:val="0"/>
        <w:widowControl w:val="0"/>
        <w:kinsoku/>
        <w:wordWrap/>
        <w:overflowPunct/>
        <w:topLinePunct w:val="0"/>
        <w:autoSpaceDE/>
        <w:autoSpaceDN/>
        <w:bidi w:val="0"/>
        <w:snapToGrid w:val="0"/>
        <w:spacing w:line="480" w:lineRule="exact"/>
        <w:jc w:val="center"/>
        <w:textAlignment w:val="auto"/>
        <w:rPr>
          <w:rFonts w:hint="eastAsia"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lang w:val="en-US" w:eastAsia="zh-CN"/>
        </w:rPr>
        <w:t>徐汇区江南新村地块旧城区改建项目</w:t>
      </w:r>
    </w:p>
    <w:p w14:paraId="4A5E5361">
      <w:pPr>
        <w:keepNext w:val="0"/>
        <w:keepLines w:val="0"/>
        <w:pageBreakBefore w:val="0"/>
        <w:widowControl w:val="0"/>
        <w:kinsoku/>
        <w:wordWrap/>
        <w:overflowPunct/>
        <w:topLinePunct w:val="0"/>
        <w:autoSpaceDE/>
        <w:autoSpaceDN/>
        <w:bidi w:val="0"/>
        <w:snapToGrid w:val="0"/>
        <w:spacing w:line="480" w:lineRule="exact"/>
        <w:jc w:val="center"/>
        <w:textAlignment w:val="auto"/>
        <w:rPr>
          <w:rFonts w:hint="eastAsia"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lang w:val="en-US" w:eastAsia="zh-CN"/>
        </w:rPr>
        <w:t>房屋征收与补偿方案</w:t>
      </w:r>
    </w:p>
    <w:p w14:paraId="483C97ED">
      <w:pPr>
        <w:keepNext w:val="0"/>
        <w:keepLines w:val="0"/>
        <w:pageBreakBefore w:val="0"/>
        <w:widowControl w:val="0"/>
        <w:kinsoku/>
        <w:wordWrap/>
        <w:overflowPunct/>
        <w:topLinePunct w:val="0"/>
        <w:autoSpaceDE/>
        <w:autoSpaceDN/>
        <w:bidi w:val="0"/>
        <w:spacing w:line="480" w:lineRule="exact"/>
        <w:ind w:firstLine="883" w:firstLineChars="200"/>
        <w:jc w:val="center"/>
        <w:textAlignment w:val="auto"/>
        <w:rPr>
          <w:rFonts w:ascii="仿宋_GB2312" w:hAnsi="仿宋_GB2312" w:cs="仿宋_GB2312"/>
          <w:b/>
          <w:bCs/>
          <w:sz w:val="30"/>
          <w:szCs w:val="30"/>
        </w:rPr>
      </w:pPr>
      <w:r>
        <w:rPr>
          <w:rFonts w:hint="eastAsia" w:ascii="宋体" w:hAnsi="宋体" w:eastAsia="宋体" w:cs="宋体"/>
          <w:b/>
          <w:bCs/>
          <w:color w:val="auto"/>
          <w:sz w:val="44"/>
          <w:szCs w:val="44"/>
          <w:highlight w:val="none"/>
          <w:lang w:val="en-US" w:eastAsia="zh-CN"/>
        </w:rPr>
        <w:t xml:space="preserve"> </w:t>
      </w:r>
    </w:p>
    <w:p w14:paraId="73508A07">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一、房屋征收与补偿的法律依据</w:t>
      </w:r>
    </w:p>
    <w:p w14:paraId="0A840BB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1.《国有土地上房屋征收与补偿条例》（国务院令第590号）；</w:t>
      </w:r>
    </w:p>
    <w:p w14:paraId="06C2BAA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2.《上海市国有土地上房屋征收与补偿实施细则》</w:t>
      </w:r>
      <w:r>
        <w:rPr>
          <w:rFonts w:hint="eastAsia" w:ascii="仿宋" w:hAnsi="仿宋"/>
          <w:color w:val="auto"/>
          <w:spacing w:val="-6"/>
          <w:szCs w:val="32"/>
          <w:highlight w:val="none"/>
          <w:lang w:eastAsia="zh-CN"/>
        </w:rPr>
        <w:t>（</w:t>
      </w:r>
      <w:r>
        <w:rPr>
          <w:rFonts w:hint="eastAsia" w:ascii="仿宋" w:hAnsi="仿宋"/>
          <w:color w:val="auto"/>
          <w:spacing w:val="-6"/>
          <w:szCs w:val="32"/>
          <w:highlight w:val="none"/>
        </w:rPr>
        <w:t>2011年10月19日上海市人民政府令第71号公布，根据2024年4月2日上海市人民政府令第13号第一次修正，根据2025年1月8日上海市人民政府令第15号第二次修正，以下简称“71号令”</w:t>
      </w:r>
      <w:r>
        <w:rPr>
          <w:rFonts w:hint="eastAsia" w:ascii="仿宋" w:hAnsi="仿宋"/>
          <w:color w:val="auto"/>
          <w:spacing w:val="-6"/>
          <w:szCs w:val="32"/>
          <w:highlight w:val="none"/>
          <w:lang w:eastAsia="zh-CN"/>
        </w:rPr>
        <w:t>）</w:t>
      </w:r>
      <w:r>
        <w:rPr>
          <w:rFonts w:hint="eastAsia" w:ascii="仿宋" w:hAnsi="仿宋"/>
          <w:color w:val="auto"/>
          <w:spacing w:val="-6"/>
          <w:szCs w:val="32"/>
          <w:highlight w:val="none"/>
        </w:rPr>
        <w:t>；</w:t>
      </w:r>
    </w:p>
    <w:p w14:paraId="777FA1EF">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关于贯彻执行〈上海市国有土地上房屋征收与补偿实施细则〉若干具体问题的意见》（沪房管规范征〔2012〕9号）、上海市房屋管理局关于延长《关于贯彻执行〈上海市国有土地上房屋征收与补偿实施细则〉若干具体问题的意见》有效期的通知（沪房规范〔2021〕10号）；</w:t>
      </w:r>
    </w:p>
    <w:p w14:paraId="76744508">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4.《国有土地上房屋征收评估办法》（建房〔2011〕77号）；</w:t>
      </w:r>
    </w:p>
    <w:p w14:paraId="4BF78AF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lang w:eastAsia="zh-CN"/>
        </w:rPr>
      </w:pPr>
      <w:r>
        <w:rPr>
          <w:rFonts w:hint="eastAsia" w:ascii="仿宋" w:hAnsi="仿宋"/>
          <w:color w:val="auto"/>
          <w:spacing w:val="-6"/>
          <w:szCs w:val="32"/>
          <w:highlight w:val="none"/>
        </w:rPr>
        <w:t>5.</w:t>
      </w:r>
      <w:r>
        <w:rPr>
          <w:rFonts w:hint="eastAsia" w:ascii="仿宋" w:hAnsi="仿宋"/>
          <w:color w:val="auto"/>
          <w:spacing w:val="-6"/>
          <w:szCs w:val="32"/>
          <w:highlight w:val="none"/>
          <w:lang w:eastAsia="zh-CN"/>
        </w:rPr>
        <w:t>《上海市房屋管理局关于印发〈上海市国有土地上房屋征收评估管理规定〉的通知》（沪房规范</w:t>
      </w:r>
      <w:r>
        <w:rPr>
          <w:rFonts w:hint="eastAsia" w:ascii="仿宋" w:hAnsi="仿宋"/>
          <w:color w:val="auto"/>
          <w:spacing w:val="-6"/>
          <w:szCs w:val="32"/>
          <w:highlight w:val="none"/>
        </w:rPr>
        <w:t>〔2025〕</w:t>
      </w:r>
      <w:r>
        <w:rPr>
          <w:rFonts w:hint="eastAsia" w:ascii="仿宋" w:hAnsi="仿宋"/>
          <w:color w:val="auto"/>
          <w:spacing w:val="-6"/>
          <w:szCs w:val="32"/>
          <w:highlight w:val="none"/>
          <w:lang w:val="en-US" w:eastAsia="zh-CN"/>
        </w:rPr>
        <w:t>3号</w:t>
      </w:r>
      <w:r>
        <w:rPr>
          <w:rFonts w:hint="eastAsia" w:ascii="仿宋" w:hAnsi="仿宋"/>
          <w:color w:val="auto"/>
          <w:spacing w:val="-6"/>
          <w:szCs w:val="32"/>
          <w:highlight w:val="none"/>
          <w:lang w:eastAsia="zh-CN"/>
        </w:rPr>
        <w:t>）；</w:t>
      </w:r>
    </w:p>
    <w:p w14:paraId="658943CF">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lang w:val="en-US" w:eastAsia="zh-CN"/>
        </w:rPr>
        <w:t>6.</w:t>
      </w:r>
      <w:r>
        <w:rPr>
          <w:rFonts w:hint="eastAsia" w:ascii="仿宋" w:hAnsi="仿宋"/>
          <w:color w:val="auto"/>
          <w:spacing w:val="-6"/>
          <w:szCs w:val="32"/>
          <w:highlight w:val="none"/>
        </w:rPr>
        <w:t>《上海市国有土地上非居住房屋征收停产停业损失补偿办法》（沪房规范〔2025〕2号）；</w:t>
      </w:r>
    </w:p>
    <w:p w14:paraId="5DFB386F">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lang w:val="en-US" w:eastAsia="zh-CN"/>
        </w:rPr>
        <w:t>7</w:t>
      </w:r>
      <w:r>
        <w:rPr>
          <w:rFonts w:hint="eastAsia" w:ascii="仿宋" w:hAnsi="仿宋"/>
          <w:color w:val="auto"/>
          <w:spacing w:val="-6"/>
          <w:szCs w:val="32"/>
          <w:highlight w:val="none"/>
        </w:rPr>
        <w:t>.《关于贯彻执行〈上海市国有土地上房屋征收与补偿实施细则〉的若干意见》（沪房规范〔2022〕3号）；</w:t>
      </w:r>
    </w:p>
    <w:p w14:paraId="09B0EB2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lang w:val="en-US" w:eastAsia="zh-CN"/>
        </w:rPr>
        <w:t>8</w:t>
      </w:r>
      <w:r>
        <w:rPr>
          <w:rFonts w:hint="eastAsia" w:ascii="仿宋" w:hAnsi="仿宋"/>
          <w:color w:val="auto"/>
          <w:spacing w:val="-6"/>
          <w:szCs w:val="32"/>
          <w:highlight w:val="none"/>
        </w:rPr>
        <w:t>.《关于职工住宅（新工房）3（3）类房屋建筑面积换算系数的批复》（沪房管征〔2014〕302号）；</w:t>
      </w:r>
    </w:p>
    <w:p w14:paraId="633A993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lang w:val="en-US" w:eastAsia="zh-CN"/>
        </w:rPr>
        <w:t>9</w:t>
      </w:r>
      <w:r>
        <w:rPr>
          <w:rFonts w:hint="eastAsia" w:ascii="仿宋" w:hAnsi="仿宋"/>
          <w:color w:val="auto"/>
          <w:spacing w:val="-6"/>
          <w:szCs w:val="32"/>
          <w:highlight w:val="none"/>
        </w:rPr>
        <w:t>.其他相关法规和规范性文件。</w:t>
      </w:r>
    </w:p>
    <w:p w14:paraId="5A152048">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二、房屋征收的目的</w:t>
      </w:r>
    </w:p>
    <w:p w14:paraId="77845EA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为加快推进旧城区改建，改善居民的居住条件和环境，开展江南新村地块旧城区改建项目房屋征收。涉及国有土地使用权收回的，按照相关规定执行。</w:t>
      </w:r>
    </w:p>
    <w:p w14:paraId="2C30B145">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三、房屋征收的范围</w:t>
      </w:r>
    </w:p>
    <w:p w14:paraId="630D7450">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地块四至范围：东至建材大厦、大木桥路，西至小木桥路，南至中山南二路，北至现状绿地、建材大厦。</w:t>
      </w:r>
    </w:p>
    <w:p w14:paraId="16340F8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征收范围：大木桥路600弄49号、606号、608号，中山南二路262号-264号（双号，全部）、268号-274号（双号，全部）、434号（全部），小木桥路511弄1号-6号（全部）、511号-513号（单号，全部）、515号（全部）、529号（全部）、545号（全部）、601号（全部），零陵路190弄6号、8号、13号-23号（单号）、23号-1临、25号、27号，江南一村1号-32号（全部）、46号、48号-53号（全部）、54号、55号、59号、60号、64号，江南二村1号-21号（全部）、21号甲、22号-48号（全部</w:t>
      </w:r>
      <w:r>
        <w:rPr>
          <w:rFonts w:hint="eastAsia" w:ascii="仿宋" w:hAnsi="仿宋"/>
          <w:color w:val="auto"/>
          <w:spacing w:val="-6"/>
          <w:szCs w:val="32"/>
          <w:highlight w:val="none"/>
          <w:lang w:eastAsia="zh-CN"/>
        </w:rPr>
        <w:t>）</w:t>
      </w:r>
      <w:r>
        <w:rPr>
          <w:rFonts w:hint="eastAsia" w:ascii="仿宋" w:hAnsi="仿宋"/>
          <w:color w:val="auto"/>
          <w:spacing w:val="-6"/>
          <w:szCs w:val="32"/>
          <w:highlight w:val="none"/>
        </w:rPr>
        <w:t>，江南新村地块区域内的车棚、垃圾库房、门卫室及地下室等。</w:t>
      </w:r>
    </w:p>
    <w:p w14:paraId="6643BE06">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四、征收与补偿计户标准</w:t>
      </w:r>
    </w:p>
    <w:p w14:paraId="4FDDD72D">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bookmarkStart w:id="0" w:name="OLE_LINK1"/>
      <w:r>
        <w:rPr>
          <w:rFonts w:hint="eastAsia" w:ascii="仿宋" w:hAnsi="仿宋"/>
          <w:color w:val="auto"/>
          <w:spacing w:val="-6"/>
          <w:szCs w:val="32"/>
          <w:highlight w:val="none"/>
        </w:rPr>
        <w:t>被征收人、公有房屋承租人以征收决定作出之日合法有效的房地产权证、租用公房凭证、公有非居住房屋租赁合同计户，按户进行补偿。</w:t>
      </w:r>
    </w:p>
    <w:p w14:paraId="0C94C1E0">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被征收人以房地产权证所载明的所有人为准，公有房屋承租人以租用公房凭证、公有非居住房屋租赁合同所载明的承租人为准。</w:t>
      </w:r>
    </w:p>
    <w:bookmarkEnd w:id="0"/>
    <w:p w14:paraId="41DE70C3">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五、被征收房屋类型、建筑面积的认定办法</w:t>
      </w:r>
    </w:p>
    <w:p w14:paraId="0D98C022">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（一）房屋类型认定</w:t>
      </w:r>
    </w:p>
    <w:p w14:paraId="380FA348">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房屋类型根据《关于修订〈上海市房屋建筑类型分类表〉的通知》（沪房〔90〕规字发第518号）、《关于调整本市房屋建筑类型分类的通知》（沪房地资市〔2003〕141号），以房产产籍资料记载的房屋类型为准。</w:t>
      </w:r>
    </w:p>
    <w:p w14:paraId="4AF7CD35">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（二）房屋建筑面积的认定</w:t>
      </w:r>
    </w:p>
    <w:p w14:paraId="1F88521B">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1.已登记的房屋建筑面积认定</w:t>
      </w:r>
    </w:p>
    <w:p w14:paraId="4BC2A63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对于已经登记的房屋，其建筑面积，一般以房地产权证和房地产登记簿的记载为准；房地产权证和房地产登记簿的记载不一致的，除有证据证明房地产登记簿确有错误外，以房地产登记簿为准。</w:t>
      </w:r>
    </w:p>
    <w:p w14:paraId="056F1547">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2.未经登记的房屋建筑面积认定</w:t>
      </w:r>
    </w:p>
    <w:p w14:paraId="118FE5FD">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于未经登记的房屋，区人民政府应当组织有关行政管理部门依法对征收范围内未经登记的建筑进行调查、认定和处理。对认定为合法建筑和未超过批准期限的临时建筑的，房屋征收部门应当给予补偿；对认定为违法建筑和超过批准期限的临时建筑的，不予补偿。</w:t>
      </w:r>
    </w:p>
    <w:p w14:paraId="5876E04B">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3.承租的公有居住房屋建筑面积认定</w:t>
      </w:r>
    </w:p>
    <w:p w14:paraId="63877EB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承租的公有居住房屋，以租用公房凭证所记载的建筑面积为准；租用公房凭证记载的是居住面积的，按下表所列的换算系数计算建筑面积：</w:t>
      </w:r>
    </w:p>
    <w:tbl>
      <w:tblPr>
        <w:tblStyle w:val="5"/>
        <w:tblpPr w:leftFromText="180" w:rightFromText="180" w:vertAnchor="text" w:tblpXSpec="center" w:tblpY="1"/>
        <w:tblOverlap w:val="never"/>
        <w:tblW w:w="9908" w:type="dxa"/>
        <w:jc w:val="center"/>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18"/>
        <w:gridCol w:w="918"/>
        <w:gridCol w:w="917"/>
        <w:gridCol w:w="917"/>
        <w:gridCol w:w="1101"/>
        <w:gridCol w:w="1101"/>
        <w:gridCol w:w="1101"/>
        <w:gridCol w:w="1101"/>
        <w:gridCol w:w="917"/>
        <w:gridCol w:w="917"/>
      </w:tblGrid>
      <w:tr w14:paraId="12C6FC0D">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1990" w:hRule="atLeast"/>
          <w:jc w:val="center"/>
        </w:trPr>
        <w:tc>
          <w:tcPr>
            <w:tcW w:w="8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0158B79">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房屋</w:t>
            </w:r>
          </w:p>
          <w:p w14:paraId="35947BFF">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类型</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1C65B3B7">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公寓</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04AC314D">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独立住宅（花园住宅）</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5CEC04D4">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新里住宅</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65821926">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新工房</w:t>
            </w:r>
          </w:p>
          <w:p w14:paraId="4B0BA25E">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（有电梯、成套）</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1860C8A4">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新工房</w:t>
            </w:r>
          </w:p>
          <w:p w14:paraId="53FE02E9">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（无电梯、成套）</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52C27B7C">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新工房</w:t>
            </w:r>
          </w:p>
          <w:p w14:paraId="0A0831E5">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（无电梯、不成套）</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776EDC9B">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“两万户” 新工房</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73120BE9">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旧里</w:t>
            </w:r>
          </w:p>
          <w:p w14:paraId="165FCF2D">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住宅</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749BA99E">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简屋</w:t>
            </w:r>
          </w:p>
        </w:tc>
      </w:tr>
      <w:tr w14:paraId="55D00DF7">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846" w:hRule="atLeast"/>
          <w:jc w:val="center"/>
        </w:trPr>
        <w:tc>
          <w:tcPr>
            <w:tcW w:w="850"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76C036B1">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换算系数</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46FF1871">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2.06</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43596F82">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1.83</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59179A81">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1.82</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798F1D41">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2.00</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02623104">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1.98</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0BFF173C">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1.94</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542B15CA">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1.65</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13EFD1AC">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1.54</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724B823B">
            <w:pPr>
              <w:widowControl/>
              <w:adjustRightInd w:val="0"/>
              <w:snapToGrid w:val="0"/>
              <w:spacing w:line="400" w:lineRule="exact"/>
              <w:jc w:val="center"/>
              <w:rPr>
                <w:rFonts w:ascii="仿宋" w:hAnsi="仿宋" w:cs="仿宋"/>
                <w:spacing w:val="-6"/>
                <w:szCs w:val="32"/>
              </w:rPr>
            </w:pPr>
            <w:r>
              <w:rPr>
                <w:rFonts w:hint="eastAsia" w:ascii="仿宋" w:hAnsi="仿宋" w:cs="仿宋"/>
                <w:spacing w:val="-6"/>
                <w:szCs w:val="32"/>
              </w:rPr>
              <w:t>1.25</w:t>
            </w:r>
          </w:p>
        </w:tc>
      </w:tr>
    </w:tbl>
    <w:p w14:paraId="29B4926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职工住宅（新工房）3（3）类房屋（标准较低、小梁薄板结构、设备较差的及五十年代建造的“两万户”新工房均属此类），其居住面积换算为建筑面积的换算系数为1.65。</w:t>
      </w:r>
    </w:p>
    <w:p w14:paraId="0F6037F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2001年11月1日前租用公房凭证中已记载，用于居住并已计算收取租金的阁楼，高度在1.2米至1.7米（含1.7米）的部分，按照实际居住面积的1/2及上款规定的换算系数计算建筑面积；1.7米以上部分，按照实际居住面积及上款规定的换算系数计算建筑面积。其他情形的阁楼，不计算建筑面积。</w:t>
      </w:r>
    </w:p>
    <w:p w14:paraId="794F65A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租用公房凭证记载的独用的厨房（灶间）、备餐室、厕浴室、壁橱、箱子间、走道、晒台、阳台、天井、楼梯间等部位的面积不得作为换算建筑面积的基数，但单独调配作为居住部位使用的除外。</w:t>
      </w:r>
    </w:p>
    <w:p w14:paraId="75FAB118">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4.承租的公有非居住房屋建筑面积认定</w:t>
      </w:r>
    </w:p>
    <w:p w14:paraId="2D68DD3B">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承租的公有非居住房屋，以房屋租赁合同记载的建筑面积为准。</w:t>
      </w:r>
    </w:p>
    <w:p w14:paraId="2AFBEF7C">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5.2001年11月1日以前以居住房屋作为经营场所并领取营业执照的非居住建筑面积认定</w:t>
      </w:r>
    </w:p>
    <w:p w14:paraId="1E1F33B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在2001年11月1日以前，已经以居住房屋作为经营场所并经工商部门核发营业执照的，根据下列情形认定非居住建筑面积：</w:t>
      </w:r>
    </w:p>
    <w:p w14:paraId="2E102B9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（1）在相关申请和批准文件中有营业面积记载的，非居住部分建筑面积计算以相关文件记载为准，所记载的营业面积大于房屋建筑面积的，按房屋建筑面积计算；</w:t>
      </w:r>
    </w:p>
    <w:p w14:paraId="3D64B1C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（2）在相关申请和批准文件中无营业面积记载但明确房屋经营部位的，由房屋行政管理部门认定的房屋调查机构对相关文件明确的实际经营部位进行现场丈量后认定非居住部分建筑面积；</w:t>
      </w:r>
    </w:p>
    <w:p w14:paraId="5B04A6B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经工商部门核发营业执照的非居住房屋，在相关申请和批准文件中无营业面积记载并未标明经营部位的，由房屋行政管理部门认定的房屋调查机构进行现场丈量，原则上按房屋底层实际经营部位认定非居住部分建筑面积。</w:t>
      </w:r>
    </w:p>
    <w:p w14:paraId="5C7C6D48">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6.公有居住和非居住兼用的房屋建筑面积的认定</w:t>
      </w:r>
    </w:p>
    <w:p w14:paraId="2C7942D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公有房屋因市或区（县）房屋行政管理部门批准部分居住部位改变为非居住用途，产生既有居住部分，又有非居住部分的，非居住部分建筑面积的认定以非居住房屋租赁合同或“居改非”审批文件记载的面积为准，居住部分面积按“居改非”前原始记载的居住面积乘以相应换算系数后，减去认定的非居住部分建筑面积，其剩余面积认定为居住部分的建筑面积。</w:t>
      </w:r>
    </w:p>
    <w:p w14:paraId="43060A39">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（三）非居住房屋的认定</w:t>
      </w:r>
    </w:p>
    <w:p w14:paraId="59C2F78F">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1.原始设计为非居住房屋，延续至房屋征收决定作出时仍作为非居住房屋使用的，应当认定为非居住房屋；</w:t>
      </w:r>
    </w:p>
    <w:p w14:paraId="27A0146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2.公有房屋承租人与公有房屋出租人签订了公有非居住房屋租赁合同，建立了公有非居住房屋租赁关系的，可以认定为非居住房屋；</w:t>
      </w:r>
    </w:p>
    <w:p w14:paraId="433B52A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3.房地产权证和房地产登记簿记载的权利人为单位，可以认定为非居住房屋，但其房屋性质明确记载为居住或者实际用作职工或者职工家庭居住使用的除外；</w:t>
      </w:r>
    </w:p>
    <w:p w14:paraId="55DF13C8">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原始设计为居住房屋，经市或者区房屋行政管理部门批准居住房屋改变为非居住用途的，除有特别规定以外，可以认定为非居住房屋。但在2001年11月1日以前，已经以居住房屋作为经营场所并领取营业执照的，可以认定为非居住房屋；在2001年11月1日以后，以居住房屋作为经营场所并领取营业执照，未经市或者区房屋行政管理部门批准居住房屋改变为非居住用途的，不认定为非居住房屋。</w:t>
      </w:r>
    </w:p>
    <w:p w14:paraId="6A06B931">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六、房屋征收补偿方式</w:t>
      </w:r>
    </w:p>
    <w:p w14:paraId="1EFB8F5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征收居住房屋或非居住房屋的，被征收人、公有房屋承租人可以选择货币补偿，也可以选择房屋产权调换。被征收人、公有房屋承租人选择房屋产权调换的，应与房屋征收部门计算、结清被征收房屋补偿金额与用于产权调换房屋价值的差价。</w:t>
      </w:r>
    </w:p>
    <w:p w14:paraId="33B64D0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2.征收居住和非居住兼用的房屋，被征收人、公有房屋承租人可以选择货币补偿，也可以选择房屋产权调换。</w:t>
      </w:r>
    </w:p>
    <w:p w14:paraId="73B5D24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被征收人、公有房屋承租人选择货币补偿的，应当按照居住用建筑面积和非居住用建筑面积分别计算货币补偿款，合并后的货币补偿款为该房屋的补偿金额。</w:t>
      </w:r>
    </w:p>
    <w:p w14:paraId="21507AE8">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或者公有房屋承租人选择房屋产权调换的，应当按照上述合并后的货币补偿款，用居住房屋进行调换并结算差价；对提出居住困难申请的被征收人、公有房屋承租人，应当根据71号令第三十一条的规定，按照上述合并后的货币补偿款进行折算。</w:t>
      </w:r>
    </w:p>
    <w:p w14:paraId="2787E808">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lang w:eastAsia="zh-CN"/>
        </w:rPr>
        <w:t>七、</w:t>
      </w:r>
      <w:r>
        <w:rPr>
          <w:rFonts w:hint="eastAsia" w:ascii="黑体" w:hAnsi="黑体" w:eastAsia="黑体"/>
          <w:bCs/>
          <w:color w:val="auto"/>
          <w:szCs w:val="32"/>
          <w:highlight w:val="none"/>
        </w:rPr>
        <w:t>签约期限</w:t>
      </w:r>
    </w:p>
    <w:p w14:paraId="23DD34E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征收决定作出后，被征收人、公有房屋承租人根据房屋征收补偿方案签订附生效条件的补偿协议。在签约期限内达到规定签约比例的，补偿协议生效；在签约期限内未达到规定签约比例的，征收决定终止执行。</w:t>
      </w:r>
    </w:p>
    <w:p w14:paraId="78434C0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根据市、区相关规定，本地块房屋征收补偿协议生效条件为签约期限内签约比例达到99%。</w:t>
      </w:r>
    </w:p>
    <w:p w14:paraId="48C84E4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本地块房屋征收补偿签约期限为10日，具体时间另行公布。</w:t>
      </w:r>
    </w:p>
    <w:p w14:paraId="4770F528">
      <w:pPr>
        <w:keepNext w:val="0"/>
        <w:keepLines w:val="0"/>
        <w:pageBreakBefore w:val="0"/>
        <w:widowControl w:val="0"/>
        <w:kinsoku/>
        <w:overflowPunct/>
        <w:topLinePunct w:val="0"/>
        <w:autoSpaceDE/>
        <w:autoSpaceDN/>
        <w:bidi w:val="0"/>
        <w:spacing w:line="480" w:lineRule="exact"/>
        <w:ind w:firstLine="640" w:firstLineChars="200"/>
        <w:textAlignment w:val="auto"/>
        <w:rPr>
          <w:rFonts w:ascii="黑体" w:hAnsi="黑体" w:eastAsia="黑体"/>
          <w:bCs/>
          <w:szCs w:val="32"/>
        </w:rPr>
      </w:pPr>
      <w:r>
        <w:rPr>
          <w:rFonts w:hint="eastAsia" w:ascii="黑体" w:hAnsi="黑体" w:eastAsia="黑体"/>
          <w:bCs/>
          <w:szCs w:val="32"/>
        </w:rPr>
        <w:t>八、征收居住房屋的补偿、价格补贴计算标准</w:t>
      </w:r>
    </w:p>
    <w:p w14:paraId="5379CBCF">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被征收居住房屋的补偿金额＝评估价格+价格补贴，71号令有特别规定的，从其规定。</w:t>
      </w:r>
    </w:p>
    <w:p w14:paraId="028C9A98">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评估价格＝被征收房屋的房地产市场评估单价×被征收房屋的建筑面积。被征收房屋的房地产市场评估单价低于评估均价的，按评估均价计算。</w:t>
      </w:r>
    </w:p>
    <w:p w14:paraId="67137D4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评估均价＝被征收范围内居住房屋评估总价÷居住房屋总建筑面积。评估均价标准，由房地产价格评估机构在评估后计算得出，由房屋征收部门在征收范围内公布。</w:t>
      </w:r>
    </w:p>
    <w:p w14:paraId="71B8FDC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价格补贴＝被征收房屋评估均价×补贴系数×被征收房屋的建筑面积。本区补贴系数为0.3。</w:t>
      </w:r>
    </w:p>
    <w:p w14:paraId="60EBCF78">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被征收房屋属于旧式里弄房屋、简屋以及其他非成套独用居住房屋的，被征收房屋的补偿金额增加套型面积补贴。</w:t>
      </w:r>
    </w:p>
    <w:p w14:paraId="51832042">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套型面积补贴＝评估均价×补贴面积。套型面积补贴按照房屋征收决定作出之日合法有效的房地产权证、租用公房凭证计户补贴，每证补贴建筑面积15平方米。</w:t>
      </w:r>
    </w:p>
    <w:p w14:paraId="2E7972DF">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ascii="黑体" w:hAnsi="黑体" w:eastAsia="黑体"/>
          <w:bCs/>
          <w:szCs w:val="32"/>
        </w:rPr>
      </w:pPr>
      <w:r>
        <w:rPr>
          <w:rFonts w:hint="eastAsia" w:ascii="黑体" w:hAnsi="黑体" w:eastAsia="黑体"/>
          <w:bCs/>
          <w:szCs w:val="32"/>
        </w:rPr>
        <w:t>九、征收执行政府规定租金标准的公有出租居住房屋的补偿、价格补贴标准</w:t>
      </w:r>
    </w:p>
    <w:p w14:paraId="0438A84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公有出租居住房屋，被征收人选择货币补偿的，租赁关系终止，对被征收人的补偿金额计算公式为：评估价格×20%；对公有房屋承租人的补偿金额计算公式为：评估价格×80%+价格补贴，被征收房屋属于旧式里弄房屋、简屋以及其他非成套独用居住房屋的，按71号令规定增加套型面积补贴。</w:t>
      </w:r>
    </w:p>
    <w:p w14:paraId="0C9BBE4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公有出租居住房屋，被征收人选择房屋产权调换的，由被征收人负责安置公有房屋承租人，租赁关系继续保持。对被征收人的补偿金额计算公式为：评估价格+价格补贴，被征收房屋属于旧式里弄房屋、简屋以及其他非成套独用居住房屋的，按71号令规定增加套型面积补贴。</w:t>
      </w:r>
    </w:p>
    <w:p w14:paraId="4DDE61A9">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十、征收执行政府规定租金标准的私有出租居住房屋的补偿、补贴标准</w:t>
      </w:r>
    </w:p>
    <w:p w14:paraId="6755640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征收执行政府规定租金标准的私有出租居住房屋，对被征收人的补偿金额计算公式为：评估价格×100%；对房屋承租人的补偿按照71号令第二十九条第一款有关公有房屋承租人的补偿规定执行。</w:t>
      </w:r>
    </w:p>
    <w:p w14:paraId="51EABC34">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十一、居住困难户审核办法</w:t>
      </w:r>
    </w:p>
    <w:p w14:paraId="3542ED0F">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按照本市经济适用住房（共有产权保障房）有关住房面积核定规定等相关规定及折算公式计算后，人均建筑面积不足22平方米的居住困难户，增加保障补贴，但已享受过经济适用住房（共有产权保障房）政策的除外。增加的保障补贴可以用于购买本基地公示的产权调换安置房源。</w:t>
      </w:r>
    </w:p>
    <w:p w14:paraId="638D2DF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折算公式为：被征收居住房屋补偿金额÷折算单价÷居住困难户人数。</w:t>
      </w:r>
    </w:p>
    <w:p w14:paraId="3A285A0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保障补贴标准：保障补贴=折算单价×居住困难户人数×22平方米-被征收居住房屋补偿金额。</w:t>
      </w:r>
    </w:p>
    <w:p w14:paraId="3913AD5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本地块折算单价：16100元/平方米。</w:t>
      </w:r>
    </w:p>
    <w:p w14:paraId="42ECDB4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居住困难户审核办法另行公布。</w:t>
      </w:r>
    </w:p>
    <w:p w14:paraId="13A557B7">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十二、征收居住房屋的奖励和其他补贴标准</w:t>
      </w:r>
    </w:p>
    <w:p w14:paraId="4922B2F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奖励和补贴以房屋征收决定作出之日合法有效的房地产权证、租用公房凭证计户发放。</w:t>
      </w:r>
    </w:p>
    <w:p w14:paraId="53378883">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（一）征收居住房屋的奖励标准</w:t>
      </w:r>
    </w:p>
    <w:p w14:paraId="147CF5F0">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1.签约奖励</w:t>
      </w:r>
    </w:p>
    <w:p w14:paraId="18F3C4B1">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（1）早签约奖</w:t>
      </w:r>
    </w:p>
    <w:p w14:paraId="5ACD7F3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被征收人、公有房屋承租人与房屋征收部门签订房屋征收补偿协议的，按签约时段给予早签约奖：</w:t>
      </w:r>
    </w:p>
    <w:p w14:paraId="1896FED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在签约期限第1至3日内签约的，按被征收房屋建筑面积给予10000元/平方米奖励，不足40万元/证的，按40万元/证奖励；</w:t>
      </w:r>
    </w:p>
    <w:p w14:paraId="73BB09A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在签约期限第4至10日内签约的，按被征收房屋建筑面积给予5000元/平方米奖励，不足20万元/证的，按20万元/证奖励；</w:t>
      </w:r>
    </w:p>
    <w:p w14:paraId="696DD7BB">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签约期限届满后签约的，按被征收房屋建筑面积给予2000元/平方米奖励，不足8万元/证的，按8万元/证奖励。</w:t>
      </w:r>
    </w:p>
    <w:p w14:paraId="35FA0437">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（2）整体签约率奖</w:t>
      </w:r>
    </w:p>
    <w:p w14:paraId="53807F4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签约期限内，房屋征收范围内被征收人、公有房屋承租人与房屋征收部门签订房屋征收补偿协议的签约率达到99%，给予每证10万元奖励。另外，签约期限内签约率在99%基础上每增加0.1%，每证增加奖励1.5万元。</w:t>
      </w:r>
    </w:p>
    <w:p w14:paraId="03A0BE90">
      <w:pPr>
        <w:keepNext w:val="0"/>
        <w:keepLines w:val="0"/>
        <w:pageBreakBefore w:val="0"/>
        <w:widowControl w:val="0"/>
        <w:kinsoku/>
        <w:overflowPunct/>
        <w:topLinePunct w:val="0"/>
        <w:autoSpaceDE/>
        <w:autoSpaceDN/>
        <w:bidi w:val="0"/>
        <w:snapToGrid w:val="0"/>
        <w:spacing w:line="480" w:lineRule="exact"/>
        <w:ind w:firstLine="619" w:firstLineChars="200"/>
        <w:textAlignment w:val="auto"/>
        <w:rPr>
          <w:rFonts w:ascii="仿宋_GB2312" w:hAnsi="仿宋"/>
          <w:b/>
          <w:bCs/>
          <w:spacing w:val="-6"/>
          <w:szCs w:val="32"/>
        </w:rPr>
      </w:pPr>
      <w:r>
        <w:rPr>
          <w:rFonts w:hint="eastAsia" w:ascii="仿宋_GB2312" w:hAnsi="仿宋"/>
          <w:b/>
          <w:bCs/>
          <w:spacing w:val="-6"/>
          <w:szCs w:val="32"/>
        </w:rPr>
        <w:t>2</w:t>
      </w:r>
      <w:r>
        <w:rPr>
          <w:rFonts w:hint="eastAsia" w:ascii="仿宋_GB2312" w:hAnsi="仿宋_GB2312" w:cs="仿宋_GB2312"/>
          <w:spacing w:val="-6"/>
          <w:szCs w:val="32"/>
        </w:rPr>
        <w:t>.</w:t>
      </w:r>
      <w:r>
        <w:rPr>
          <w:rFonts w:hint="eastAsia" w:ascii="仿宋_GB2312" w:hAnsi="仿宋"/>
          <w:b/>
          <w:bCs/>
          <w:spacing w:val="-6"/>
          <w:szCs w:val="32"/>
        </w:rPr>
        <w:t>搬迁奖励</w:t>
      </w:r>
    </w:p>
    <w:p w14:paraId="48BB4B04">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（1）早搬迁奖</w:t>
      </w:r>
    </w:p>
    <w:p w14:paraId="5439B4D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被征收人、公有房屋承租人与房屋征收部门在签约期限内签订房屋征收补偿协议并按约定的搬迁期限搬离被征收房屋的，按搬迁时段给予早搬迁奖：</w:t>
      </w:r>
    </w:p>
    <w:p w14:paraId="44DB748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自本地块旧改签约生效次日起，第1日至15日内搬离被征收房屋，办理完毕交房手续的，按被征收房屋建筑面积给予4000元/平方米奖励，不足16万元/证的，按16万元/证奖励；</w:t>
      </w:r>
    </w:p>
    <w:p w14:paraId="3211F90B">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自本地块旧改签约生效次日起，第16日至30日内搬离被征收房屋，办理完毕交房手续的，按被征收房屋建筑面积给予2000元/平方米奖励，不足8万元/证的，按8万元/证奖励；</w:t>
      </w:r>
    </w:p>
    <w:p w14:paraId="768BF5F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自本地块旧改签约生效次日起，第31日至45日搬离被征收房屋，办理完毕交房手续的，按被征收房屋建筑面积给予1000元/平方米奖励，不足4万元/证的，按4万元/证奖励。</w:t>
      </w:r>
    </w:p>
    <w:p w14:paraId="7267A579">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（2）首批搬迁奖</w:t>
      </w:r>
    </w:p>
    <w:p w14:paraId="0D43FB5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完成签约的被征收人、公有房屋承租人在本地块旧改签约生效次日起第1至7日内搬离被征收房屋并办理完毕交房手续的，每证另给予10万元奖励。</w:t>
      </w:r>
    </w:p>
    <w:p w14:paraId="040DC6C5">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（3）户籍迁出奖</w:t>
      </w:r>
    </w:p>
    <w:p w14:paraId="1F8F33B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被征收人、公有房屋承租人与房屋征收部门在签约期限内签订房屋征收补偿协议的，在规定时间内将被征收房屋内户口全部迁出的给予1万元/证奖励。</w:t>
      </w:r>
    </w:p>
    <w:p w14:paraId="53BF6CD0">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3.房票奖励</w:t>
      </w:r>
    </w:p>
    <w:p w14:paraId="587C802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被征收人、公有房屋承租人选择货币补偿方式的，在签约期限内与房屋征收部门签订房屋征收补偿协议的，自</w:t>
      </w:r>
      <w:r>
        <w:rPr>
          <w:rFonts w:hint="eastAsia" w:ascii="仿宋" w:hAnsi="仿宋"/>
          <w:color w:val="auto"/>
          <w:spacing w:val="-6"/>
          <w:szCs w:val="32"/>
          <w:highlight w:val="none"/>
          <w:lang w:val="en-US" w:eastAsia="zh-CN"/>
        </w:rPr>
        <w:t>2025年1月22日起（本地块纳入旧城区改建范围意愿征询起始日）至</w:t>
      </w:r>
      <w:r>
        <w:rPr>
          <w:rFonts w:hint="eastAsia" w:ascii="仿宋" w:hAnsi="仿宋"/>
          <w:color w:val="auto"/>
          <w:spacing w:val="-6"/>
          <w:szCs w:val="32"/>
          <w:highlight w:val="none"/>
        </w:rPr>
        <w:t>签约期结束</w:t>
      </w:r>
      <w:r>
        <w:rPr>
          <w:rFonts w:hint="eastAsia" w:ascii="仿宋" w:hAnsi="仿宋"/>
          <w:color w:val="auto"/>
          <w:spacing w:val="-6"/>
          <w:szCs w:val="32"/>
          <w:highlight w:val="none"/>
          <w:lang w:eastAsia="zh-CN"/>
        </w:rPr>
        <w:t>之</w:t>
      </w:r>
      <w:r>
        <w:rPr>
          <w:rFonts w:hint="eastAsia" w:ascii="仿宋" w:hAnsi="仿宋"/>
          <w:color w:val="auto"/>
          <w:spacing w:val="-6"/>
          <w:szCs w:val="32"/>
          <w:highlight w:val="none"/>
        </w:rPr>
        <w:t>日</w:t>
      </w:r>
      <w:r>
        <w:rPr>
          <w:rFonts w:hint="eastAsia" w:ascii="仿宋" w:hAnsi="仿宋"/>
          <w:color w:val="auto"/>
          <w:spacing w:val="-6"/>
          <w:szCs w:val="32"/>
          <w:highlight w:val="none"/>
          <w:lang w:eastAsia="zh-CN"/>
        </w:rPr>
        <w:t>后</w:t>
      </w:r>
      <w:r>
        <w:rPr>
          <w:rFonts w:hint="eastAsia" w:ascii="仿宋" w:hAnsi="仿宋"/>
          <w:color w:val="auto"/>
          <w:spacing w:val="-6"/>
          <w:szCs w:val="32"/>
          <w:highlight w:val="none"/>
        </w:rPr>
        <w:t>18个月内</w:t>
      </w:r>
      <w:r>
        <w:rPr>
          <w:rFonts w:hint="eastAsia" w:ascii="仿宋" w:hAnsi="仿宋"/>
          <w:color w:val="auto"/>
          <w:spacing w:val="-6"/>
          <w:szCs w:val="32"/>
          <w:highlight w:val="none"/>
          <w:lang w:eastAsia="zh-CN"/>
        </w:rPr>
        <w:t>，</w:t>
      </w:r>
      <w:r>
        <w:rPr>
          <w:rFonts w:hint="eastAsia" w:ascii="仿宋" w:hAnsi="仿宋"/>
          <w:color w:val="auto"/>
          <w:spacing w:val="-6"/>
          <w:szCs w:val="32"/>
          <w:highlight w:val="none"/>
          <w:lang w:val="en-US" w:eastAsia="zh-CN"/>
        </w:rPr>
        <w:t>被补偿人或其直系亲属</w:t>
      </w:r>
      <w:r>
        <w:rPr>
          <w:rFonts w:hint="eastAsia" w:ascii="仿宋" w:hAnsi="仿宋"/>
          <w:color w:val="auto"/>
          <w:spacing w:val="-6"/>
          <w:szCs w:val="32"/>
          <w:highlight w:val="none"/>
        </w:rPr>
        <w:t>购买</w:t>
      </w:r>
      <w:r>
        <w:rPr>
          <w:rFonts w:hint="eastAsia" w:ascii="仿宋" w:hAnsi="仿宋"/>
          <w:color w:val="auto"/>
          <w:spacing w:val="-6"/>
          <w:szCs w:val="32"/>
          <w:highlight w:val="none"/>
          <w:lang w:val="en-US" w:eastAsia="zh-CN"/>
        </w:rPr>
        <w:t>本地块范围之外</w:t>
      </w:r>
      <w:r>
        <w:rPr>
          <w:rFonts w:hint="eastAsia" w:ascii="仿宋" w:hAnsi="仿宋"/>
          <w:color w:val="auto"/>
          <w:spacing w:val="-6"/>
          <w:szCs w:val="32"/>
          <w:highlight w:val="none"/>
        </w:rPr>
        <w:t>本市居住房屋的（房屋购买日期以网签购房合同、网签预售合同或预告登记为准），</w:t>
      </w:r>
      <w:r>
        <w:rPr>
          <w:rFonts w:hint="eastAsia" w:ascii="仿宋" w:hAnsi="仿宋"/>
          <w:color w:val="auto"/>
          <w:spacing w:val="-6"/>
          <w:szCs w:val="32"/>
          <w:highlight w:val="none"/>
          <w:lang w:eastAsia="zh-CN"/>
        </w:rPr>
        <w:t>在规定时间内</w:t>
      </w:r>
      <w:r>
        <w:rPr>
          <w:rFonts w:hint="eastAsia" w:ascii="仿宋" w:hAnsi="仿宋"/>
          <w:color w:val="auto"/>
          <w:spacing w:val="-6"/>
          <w:szCs w:val="32"/>
          <w:highlight w:val="none"/>
        </w:rPr>
        <w:t>凭购买房屋的房地产权证或不动产登记证</w:t>
      </w:r>
      <w:r>
        <w:rPr>
          <w:rFonts w:hint="eastAsia" w:ascii="仿宋" w:hAnsi="仿宋"/>
          <w:color w:val="auto"/>
          <w:spacing w:val="-6"/>
          <w:szCs w:val="32"/>
          <w:highlight w:val="none"/>
          <w:lang w:eastAsia="zh-CN"/>
        </w:rPr>
        <w:t>等相关证明申请</w:t>
      </w:r>
      <w:r>
        <w:rPr>
          <w:rFonts w:hint="eastAsia" w:ascii="仿宋" w:hAnsi="仿宋"/>
          <w:color w:val="auto"/>
          <w:spacing w:val="-6"/>
          <w:szCs w:val="32"/>
          <w:highlight w:val="none"/>
        </w:rPr>
        <w:t>，</w:t>
      </w:r>
      <w:r>
        <w:rPr>
          <w:rFonts w:hint="eastAsia" w:ascii="仿宋" w:hAnsi="仿宋"/>
          <w:color w:val="auto"/>
          <w:spacing w:val="-6"/>
          <w:szCs w:val="32"/>
          <w:highlight w:val="none"/>
          <w:lang w:eastAsia="zh-CN"/>
        </w:rPr>
        <w:t>每证</w:t>
      </w:r>
      <w:r>
        <w:rPr>
          <w:rFonts w:hint="eastAsia" w:ascii="仿宋" w:hAnsi="仿宋"/>
          <w:color w:val="auto"/>
          <w:spacing w:val="-6"/>
          <w:szCs w:val="32"/>
          <w:highlight w:val="none"/>
        </w:rPr>
        <w:t>按被征收房屋建筑面积给予2000元/平方米奖励。购买多套房屋的，仅限享受1次房票奖励。限购及税收政策按照本市现有的相关政策执行。</w:t>
      </w:r>
    </w:p>
    <w:p w14:paraId="29EB8916">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（二）征收居住房屋的其他补贴标准</w:t>
      </w:r>
    </w:p>
    <w:p w14:paraId="4BF6C91D">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1.室内装修补贴</w:t>
      </w:r>
    </w:p>
    <w:p w14:paraId="558E393F">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每证按被征收房屋建筑面积500元/平方米给予室内装修补贴。</w:t>
      </w:r>
    </w:p>
    <w:p w14:paraId="4C370C5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被征收人、公有房屋承租人对装修补贴有异议的，可以委托选定的估价机构评估确定。</w:t>
      </w:r>
    </w:p>
    <w:p w14:paraId="76E03E83">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2.均衡实物补贴</w:t>
      </w:r>
    </w:p>
    <w:p w14:paraId="13CB258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被征收人、公有房屋承租人选择货币补偿方式的，按被征收房屋建筑面积给予10000元/平方米均衡实物补贴。</w:t>
      </w:r>
    </w:p>
    <w:p w14:paraId="736C2C5F">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3.不予认定建筑面积补贴</w:t>
      </w:r>
    </w:p>
    <w:p w14:paraId="17EF216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在签约期限内签订房屋征收补偿协议的，对于没有不予认定建筑面积的部分，给予无不予认定建筑面积补贴10万元/证；对于不予认定建筑面积的部分，按600元/平方米给予材料补贴，最高不超过10万元/证。</w:t>
      </w:r>
    </w:p>
    <w:p w14:paraId="4BE19E5F">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4.成套价格补贴</w:t>
      </w:r>
    </w:p>
    <w:p w14:paraId="29858B9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对本地块内房屋类型为新里、新工房、公寓的成套居住房屋另给予60万元/证价格补贴，可以用于购买本地块公示的产权调换房屋。</w:t>
      </w:r>
    </w:p>
    <w:p w14:paraId="0347E01E">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5.家用设施移装费</w:t>
      </w:r>
    </w:p>
    <w:p w14:paraId="776D995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（1）固定电话移装费，每号140元或按现行有关规定（凭缴费单据）；</w:t>
      </w:r>
    </w:p>
    <w:p w14:paraId="42A0928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（2）管道煤气拆装费，每户160元或按现行有关规定（凭缴费单据）；</w:t>
      </w:r>
    </w:p>
    <w:p w14:paraId="2521E91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（3）有线电视移装费，每户240元或按现行有关规定（凭缴费单据）；</w:t>
      </w:r>
    </w:p>
    <w:p w14:paraId="20F7B2A2">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（4）宽带移装费，每户90元或按现行有关规定（凭缴费单据）；</w:t>
      </w:r>
    </w:p>
    <w:p w14:paraId="598CA8D2">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（5）空调拆装费，每台400元（按实计算）；</w:t>
      </w:r>
    </w:p>
    <w:p w14:paraId="0435746F">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（6）热水器拆装费，每台300元（按实计算）；</w:t>
      </w:r>
    </w:p>
    <w:p w14:paraId="11C0684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（7）家用（独用）电表，凭收费单据按实结算。</w:t>
      </w:r>
    </w:p>
    <w:p w14:paraId="1D6CDD69">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6.搬迁费</w:t>
      </w:r>
    </w:p>
    <w:p w14:paraId="7476BD6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按被征收房屋建筑面积35元/平方米结算。低于1600元/证的按1600元/证发放。</w:t>
      </w:r>
    </w:p>
    <w:p w14:paraId="0A4D752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凡在征收签约期限内签约并按约定期限内搬离被征收房屋的（原住房腾空且钥匙交房屋征收部门），每户提供1辆次免费搬场车。</w:t>
      </w:r>
    </w:p>
    <w:p w14:paraId="58945DDD">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7.临时安置补贴</w:t>
      </w:r>
    </w:p>
    <w:p w14:paraId="4EE1DB6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每证按被征收房屋建筑面积600元/平方米给予临时安置补贴。</w:t>
      </w:r>
    </w:p>
    <w:p w14:paraId="49ABACE7">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8.证照补贴</w:t>
      </w:r>
    </w:p>
    <w:p w14:paraId="5A14FE9F">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对持有征收决定作出之日合法有效的工商营业执照等经营性证照的经营户（须注册在被征收房屋内），按房屋产权证或公房租赁凭证给予10万元/证补贴。</w:t>
      </w:r>
    </w:p>
    <w:p w14:paraId="7278F86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注：同一证被征收房屋内有多个工商营业执照等经营性证照的，仍按照一证予以补贴。</w:t>
      </w:r>
    </w:p>
    <w:p w14:paraId="25DE2458">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十三、征收非居住房屋的补偿标准</w:t>
      </w:r>
    </w:p>
    <w:p w14:paraId="5624FBF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征收非居住房屋的，应当对被征收人、公有房屋承租人给予以下补偿：</w:t>
      </w:r>
    </w:p>
    <w:p w14:paraId="63E21A53">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1.被征收房屋的市场评估价格</w:t>
      </w:r>
    </w:p>
    <w:p w14:paraId="7418D0D2">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被征收房屋的市场评估价格由选定的房地产评估机构评估确定。</w:t>
      </w:r>
    </w:p>
    <w:p w14:paraId="770FECFD">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2.设备搬迁和安装费用</w:t>
      </w:r>
    </w:p>
    <w:p w14:paraId="3903AAE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可恢复使用的机器设备、物资等搬迁和安装费由选定的房地产评估机构评估确定。</w:t>
      </w:r>
    </w:p>
    <w:p w14:paraId="5CC07001">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3.无法恢复使用的设备费用</w:t>
      </w:r>
    </w:p>
    <w:p w14:paraId="5D95BB8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无法恢复使用的机器设备费用，按重置价结合成新的价格予以补偿，具体价格由选定的房地产评估机构评估确定。</w:t>
      </w:r>
    </w:p>
    <w:p w14:paraId="54479909">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4.室内装饰装修补偿</w:t>
      </w:r>
    </w:p>
    <w:p w14:paraId="59C6BF3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被征收房屋室内的装修，按重置价结合成新的价格给予适当补贴，具体价格由选定的房地产评估机构评估确定。</w:t>
      </w:r>
    </w:p>
    <w:p w14:paraId="38A19B3C">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5.未见证建筑物残值补偿</w:t>
      </w:r>
    </w:p>
    <w:p w14:paraId="2ACD1DDF">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未经登记且未经规划土地部门批准建造的房屋，未经认定为违法建筑的，未见证建筑物残值补偿价格由选定的房地产评估机构评估确定。</w:t>
      </w:r>
    </w:p>
    <w:p w14:paraId="19FFBC05">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6.其他财物价值补偿</w:t>
      </w:r>
    </w:p>
    <w:p w14:paraId="02DCD4A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其他财物价值包括绿化、苗木、附属设施等，补偿价格由选定的房地产评估机构评估确定。</w:t>
      </w:r>
    </w:p>
    <w:p w14:paraId="6CD6AD0F">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7.停产停业损失补偿</w:t>
      </w:r>
    </w:p>
    <w:p w14:paraId="02BA009B">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因征收非居住房屋造成被征收人、公有房屋承租人停产停业损失的补偿标准，按照被征收房屋市场评估价的8%确定。</w:t>
      </w:r>
    </w:p>
    <w:p w14:paraId="34B5F0EF">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涉及产业用地上房屋征收的，停产停业损失的补偿标准根据被征收房屋市场评估价的一定比例确定，并与产业用地综合绩效评估评定的A、B、C、D绩效类别按照以下方式联动：</w:t>
      </w:r>
    </w:p>
    <w:p w14:paraId="42E8C44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（1）被评为D类的产业用地，按不高于3%确定</w:t>
      </w:r>
      <w:r>
        <w:rPr>
          <w:rFonts w:hint="eastAsia" w:ascii="仿宋" w:hAnsi="仿宋"/>
          <w:color w:val="auto"/>
          <w:spacing w:val="-6"/>
          <w:szCs w:val="32"/>
          <w:highlight w:val="none"/>
          <w:lang w:eastAsia="zh-CN"/>
        </w:rPr>
        <w:t>；</w:t>
      </w:r>
    </w:p>
    <w:p w14:paraId="76BE1B1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（2）被评为C类的产业用地，按不高于5%确定；</w:t>
      </w:r>
    </w:p>
    <w:p w14:paraId="7622895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（3）被评为A类和B类的产业用地，按不高于8%确定。</w:t>
      </w:r>
    </w:p>
    <w:p w14:paraId="25FBA0C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前期未开发投产或已停产的，原则上不考虑停产停业损失。</w:t>
      </w:r>
    </w:p>
    <w:p w14:paraId="4154BC5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被征收人、公有房屋承租人认为其停产停业损失超过上述规定标准的，应当向房屋征收部门提供房屋被征收前三年的平均效益、停产停业期限等相关证明材料。房屋征收</w:t>
      </w:r>
      <w:bookmarkStart w:id="1" w:name="_GoBack"/>
      <w:bookmarkEnd w:id="1"/>
      <w:r>
        <w:rPr>
          <w:rFonts w:hint="eastAsia" w:ascii="仿宋" w:hAnsi="仿宋"/>
          <w:color w:val="auto"/>
          <w:spacing w:val="-6"/>
          <w:szCs w:val="32"/>
          <w:highlight w:val="none"/>
        </w:rPr>
        <w:t>部门委托按照71号令第二十四条第二款规定选定的房地产价格评估机构对停产停业损失进行评估，并按照评估结果予以补偿。被征收人、公有房屋承租人对评估结果有异议的，可以按照71号令第二十五条第三款规定申请复核、鉴定。</w:t>
      </w:r>
    </w:p>
    <w:p w14:paraId="6ACAA767">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lang w:eastAsia="zh-CN"/>
        </w:rPr>
        <w:t>8.</w:t>
      </w:r>
      <w:r>
        <w:rPr>
          <w:rFonts w:hint="eastAsia" w:ascii="仿宋" w:hAnsi="仿宋"/>
          <w:b/>
          <w:bCs/>
          <w:color w:val="auto"/>
          <w:spacing w:val="-6"/>
          <w:szCs w:val="32"/>
          <w:highlight w:val="none"/>
        </w:rPr>
        <w:t>临时安置补偿</w:t>
      </w:r>
    </w:p>
    <w:p w14:paraId="7B850B08">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没有居住部位的全非居房屋，被征收人、</w:t>
      </w:r>
      <w:r>
        <w:rPr>
          <w:rFonts w:hint="eastAsia" w:ascii="仿宋" w:hAnsi="仿宋"/>
          <w:color w:val="auto"/>
          <w:spacing w:val="-6"/>
          <w:szCs w:val="32"/>
          <w:highlight w:val="none"/>
          <w:lang w:eastAsia="zh-CN"/>
        </w:rPr>
        <w:t>公</w:t>
      </w:r>
      <w:r>
        <w:rPr>
          <w:rFonts w:hint="eastAsia" w:ascii="仿宋" w:hAnsi="仿宋"/>
          <w:color w:val="auto"/>
          <w:spacing w:val="-6"/>
          <w:szCs w:val="32"/>
          <w:highlight w:val="none"/>
        </w:rPr>
        <w:t>有房屋承租人在签约期内签约的，涉及发生临时安置情形的，给予临时安置补偿。</w:t>
      </w:r>
    </w:p>
    <w:p w14:paraId="3A053269">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十四、征收执行政府规定租金标准的公有出租非居住房屋的补偿标准</w:t>
      </w:r>
    </w:p>
    <w:p w14:paraId="746BAD6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公有出租非居住房屋，被征收人选择货币补偿的，租赁关系终止，对被征收人的补偿金额计算公式为：评估价格×20%，对公有房屋承租人的补偿金额计算公式为：评估价格×80%；被征收人选择房屋产权调换的，由被征收人安置公有房屋承租人，租赁关系继续保持。</w:t>
      </w:r>
    </w:p>
    <w:p w14:paraId="61E8184A">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十五、征收非居住个体房屋的奖励补贴标准</w:t>
      </w:r>
    </w:p>
    <w:p w14:paraId="1FF8C100">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1.签约奖</w:t>
      </w:r>
    </w:p>
    <w:p w14:paraId="2510E8FB">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被征收人、公有房屋承租人在签约期内签约的，给予房地产市场评估价格10%的奖励。</w:t>
      </w:r>
    </w:p>
    <w:p w14:paraId="14C69FB5">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2.搬迁奖</w:t>
      </w:r>
    </w:p>
    <w:p w14:paraId="22E990E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被征收人、公有房屋承租人在征收补偿协议约定的期限内完成搬迁的，给予房地产市场评估价格10%的奖励。</w:t>
      </w:r>
    </w:p>
    <w:p w14:paraId="75691049">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3.证照补贴</w:t>
      </w:r>
    </w:p>
    <w:p w14:paraId="5AA2B1F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对持有征收决定作出之日合法有效的工商营业执照等经营性证照的经营户（须注册在被征收房屋内），按房屋产权证或公有非居住房屋租赁合同给予10万元/证补贴。</w:t>
      </w:r>
    </w:p>
    <w:p w14:paraId="2E920482">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注：同一证被征收房屋内有多个工商营业执照等经营性证照的，仍按照一证予以补贴。</w:t>
      </w:r>
    </w:p>
    <w:p w14:paraId="32C3B669">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4.自行购房补贴</w:t>
      </w:r>
    </w:p>
    <w:p w14:paraId="1939A30D">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非居住个体房屋的被征收人、公有房屋承租人选择货币补偿方式、在签约期内签约的，给予房地产市场评估价格50%的自行购房补贴。</w:t>
      </w:r>
    </w:p>
    <w:p w14:paraId="5330F972">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十六、征收非居住企事业单位房屋的奖励补贴标准</w:t>
      </w:r>
    </w:p>
    <w:p w14:paraId="18DE6E72">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1.签约奖</w:t>
      </w:r>
    </w:p>
    <w:p w14:paraId="283FD1B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被征收单位在签约期内签约的，给予适当签约奖励。被征收人根据自身实际在方案基础上，在文件规定框架内开展协商。</w:t>
      </w:r>
    </w:p>
    <w:p w14:paraId="335C820A">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2.搬迁奖</w:t>
      </w:r>
    </w:p>
    <w:p w14:paraId="7EF59471">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被征收单位在签约期内签约并按约定时间搬离的，给予适当搬迁奖励。被征收人根据自身实际在方案基础上，在文件规定框架内开展协商。</w:t>
      </w:r>
    </w:p>
    <w:p w14:paraId="2E4CB8F3">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3.证照补贴</w:t>
      </w:r>
    </w:p>
    <w:p w14:paraId="50600C88">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对持有征收决定作出之日合法有效的工商营业执照等经营性证照的经营户（须注册在被征收房屋内），按房屋产权证或公有非居住房屋租赁合同给予10万元/证补贴。</w:t>
      </w:r>
    </w:p>
    <w:p w14:paraId="0FCD9779">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注：同一证被征收房屋内有多个工商营业执照等经营性证照的，仍按照一证予以补贴。</w:t>
      </w:r>
    </w:p>
    <w:p w14:paraId="5D38BD2B">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十七、企事业单位市场租赁关系的处理</w:t>
      </w:r>
    </w:p>
    <w:p w14:paraId="64BE0E02">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征收范围内企事业单位房屋依照市场租赁关系出租的，企事业单位应自行处理市场租赁关系并按照协议约定期限负责腾退及相关历史遗留问题的后续处理。</w:t>
      </w:r>
    </w:p>
    <w:p w14:paraId="6A2C5870">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十八、征收依法代管房屋的补偿标准</w:t>
      </w:r>
    </w:p>
    <w:p w14:paraId="4249A83D">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房屋管理部门依法代管的房屋，房屋征收部门应当与代管人订立征收补偿协议。征收补偿协议应当经公证机构公证，征收房屋有关资料应当向公证机构办理证据保全。补偿方式与标准，按照71号令第三十七条第二款的规定执行。</w:t>
      </w:r>
    </w:p>
    <w:p w14:paraId="1EC8070D">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highlight w:val="none"/>
        </w:rPr>
      </w:pPr>
      <w:r>
        <w:rPr>
          <w:rFonts w:hint="eastAsia" w:ascii="黑体" w:hAnsi="黑体" w:eastAsia="黑体"/>
          <w:bCs/>
          <w:szCs w:val="32"/>
          <w:highlight w:val="none"/>
        </w:rPr>
        <w:t>十九、用于产权调换房屋的基本情况和选购方法</w:t>
      </w:r>
    </w:p>
    <w:p w14:paraId="7AC33DDC">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lang w:eastAsia="zh-CN"/>
        </w:rPr>
        <w:t>（一）</w:t>
      </w:r>
      <w:r>
        <w:rPr>
          <w:rFonts w:hint="eastAsia" w:ascii="楷体" w:hAnsi="楷体" w:eastAsia="楷体" w:cs="仿宋"/>
          <w:b/>
          <w:color w:val="auto"/>
          <w:spacing w:val="-6"/>
          <w:szCs w:val="32"/>
          <w:highlight w:val="none"/>
        </w:rPr>
        <w:t>本地块用于居住房屋产权调换的房屋</w:t>
      </w:r>
    </w:p>
    <w:p w14:paraId="2F290D58">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lang w:val="en-US" w:eastAsia="zh-CN"/>
        </w:rPr>
        <w:t>1.</w:t>
      </w:r>
      <w:r>
        <w:rPr>
          <w:rFonts w:hint="eastAsia" w:ascii="仿宋" w:hAnsi="仿宋"/>
          <w:b/>
          <w:bCs/>
          <w:color w:val="auto"/>
          <w:spacing w:val="-6"/>
          <w:szCs w:val="32"/>
          <w:highlight w:val="none"/>
        </w:rPr>
        <w:t>本区房源</w:t>
      </w:r>
    </w:p>
    <w:p w14:paraId="54F1BC83">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lang w:eastAsia="zh-CN"/>
        </w:rPr>
        <w:t>（</w:t>
      </w:r>
      <w:r>
        <w:rPr>
          <w:rFonts w:hint="eastAsia" w:ascii="仿宋" w:hAnsi="仿宋"/>
          <w:color w:val="auto"/>
          <w:spacing w:val="-6"/>
          <w:szCs w:val="32"/>
          <w:highlight w:val="none"/>
          <w:lang w:val="en-US" w:eastAsia="zh-CN"/>
        </w:rPr>
        <w:t>1</w:t>
      </w:r>
      <w:r>
        <w:rPr>
          <w:rFonts w:hint="eastAsia" w:ascii="仿宋" w:hAnsi="仿宋"/>
          <w:color w:val="auto"/>
          <w:spacing w:val="-6"/>
          <w:szCs w:val="32"/>
          <w:highlight w:val="none"/>
          <w:lang w:eastAsia="zh-CN"/>
        </w:rPr>
        <w:t>）</w:t>
      </w:r>
      <w:r>
        <w:rPr>
          <w:rFonts w:hint="eastAsia" w:ascii="仿宋" w:hAnsi="仿宋"/>
          <w:color w:val="auto"/>
          <w:spacing w:val="-6"/>
          <w:szCs w:val="32"/>
          <w:highlight w:val="none"/>
        </w:rPr>
        <w:t>徐汇区世家花园，</w:t>
      </w:r>
      <w:r>
        <w:rPr>
          <w:rFonts w:hint="eastAsia" w:ascii="仿宋" w:hAnsi="仿宋"/>
          <w:color w:val="auto"/>
          <w:spacing w:val="-6"/>
          <w:szCs w:val="32"/>
          <w:highlight w:val="none"/>
          <w:lang w:eastAsia="zh"/>
        </w:rPr>
        <w:t>使用均价</w:t>
      </w:r>
      <w:r>
        <w:rPr>
          <w:rFonts w:hint="eastAsia" w:ascii="仿宋" w:hAnsi="仿宋"/>
          <w:color w:val="auto"/>
          <w:spacing w:val="-6"/>
          <w:szCs w:val="32"/>
          <w:highlight w:val="none"/>
        </w:rPr>
        <w:t>66400元/平方</w:t>
      </w:r>
      <w:r>
        <w:rPr>
          <w:rFonts w:hint="eastAsia" w:ascii="仿宋" w:hAnsi="仿宋"/>
          <w:color w:val="auto"/>
          <w:spacing w:val="-6"/>
          <w:szCs w:val="32"/>
          <w:highlight w:val="none"/>
          <w:lang w:eastAsia="zh"/>
        </w:rPr>
        <w:t>米，</w:t>
      </w:r>
      <w:r>
        <w:rPr>
          <w:rFonts w:hint="eastAsia" w:ascii="仿宋" w:hAnsi="仿宋"/>
          <w:color w:val="auto"/>
          <w:spacing w:val="-6"/>
          <w:szCs w:val="32"/>
          <w:highlight w:val="none"/>
        </w:rPr>
        <w:t>一房一价；</w:t>
      </w:r>
    </w:p>
    <w:p w14:paraId="58D9DBB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lang w:eastAsia="zh-CN"/>
        </w:rPr>
        <w:t>（</w:t>
      </w:r>
      <w:r>
        <w:rPr>
          <w:rFonts w:hint="eastAsia" w:ascii="仿宋" w:hAnsi="仿宋"/>
          <w:color w:val="auto"/>
          <w:spacing w:val="-6"/>
          <w:szCs w:val="32"/>
          <w:highlight w:val="none"/>
          <w:lang w:val="en-US" w:eastAsia="zh-CN"/>
        </w:rPr>
        <w:t>2</w:t>
      </w:r>
      <w:r>
        <w:rPr>
          <w:rFonts w:hint="eastAsia" w:ascii="仿宋" w:hAnsi="仿宋"/>
          <w:color w:val="auto"/>
          <w:spacing w:val="-6"/>
          <w:szCs w:val="32"/>
          <w:highlight w:val="none"/>
          <w:lang w:eastAsia="zh-CN"/>
        </w:rPr>
        <w:t>）</w:t>
      </w:r>
      <w:r>
        <w:rPr>
          <w:rFonts w:hint="eastAsia" w:ascii="仿宋" w:hAnsi="仿宋"/>
          <w:color w:val="auto"/>
          <w:spacing w:val="-6"/>
          <w:szCs w:val="32"/>
          <w:highlight w:val="none"/>
        </w:rPr>
        <w:t>徐汇区莲岸家园，</w:t>
      </w:r>
      <w:r>
        <w:rPr>
          <w:rFonts w:hint="eastAsia" w:ascii="仿宋" w:hAnsi="仿宋"/>
          <w:color w:val="auto"/>
          <w:spacing w:val="-6"/>
          <w:szCs w:val="32"/>
          <w:highlight w:val="none"/>
          <w:lang w:eastAsia="zh"/>
        </w:rPr>
        <w:t>使用均价</w:t>
      </w:r>
      <w:r>
        <w:rPr>
          <w:rFonts w:hint="eastAsia" w:ascii="仿宋" w:hAnsi="仿宋"/>
          <w:color w:val="auto"/>
          <w:spacing w:val="-6"/>
          <w:szCs w:val="32"/>
          <w:highlight w:val="none"/>
        </w:rPr>
        <w:t>54400元/平方</w:t>
      </w:r>
      <w:r>
        <w:rPr>
          <w:rFonts w:hint="eastAsia" w:ascii="仿宋" w:hAnsi="仿宋"/>
          <w:color w:val="auto"/>
          <w:spacing w:val="-6"/>
          <w:szCs w:val="32"/>
          <w:highlight w:val="none"/>
          <w:lang w:eastAsia="zh"/>
        </w:rPr>
        <w:t>米，</w:t>
      </w:r>
      <w:r>
        <w:rPr>
          <w:rFonts w:hint="eastAsia" w:ascii="仿宋" w:hAnsi="仿宋"/>
          <w:color w:val="auto"/>
          <w:spacing w:val="-6"/>
          <w:szCs w:val="32"/>
          <w:highlight w:val="none"/>
        </w:rPr>
        <w:t>一房一价；</w:t>
      </w:r>
    </w:p>
    <w:p w14:paraId="38CF959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lang w:eastAsia="zh-CN"/>
        </w:rPr>
        <w:t>（</w:t>
      </w:r>
      <w:r>
        <w:rPr>
          <w:rFonts w:hint="eastAsia" w:ascii="仿宋" w:hAnsi="仿宋"/>
          <w:color w:val="auto"/>
          <w:spacing w:val="-6"/>
          <w:szCs w:val="32"/>
          <w:highlight w:val="none"/>
          <w:lang w:val="en-US" w:eastAsia="zh-CN"/>
        </w:rPr>
        <w:t>3</w:t>
      </w:r>
      <w:r>
        <w:rPr>
          <w:rFonts w:hint="eastAsia" w:ascii="仿宋" w:hAnsi="仿宋"/>
          <w:color w:val="auto"/>
          <w:spacing w:val="-6"/>
          <w:szCs w:val="32"/>
          <w:highlight w:val="none"/>
          <w:lang w:eastAsia="zh-CN"/>
        </w:rPr>
        <w:t>）</w:t>
      </w:r>
      <w:r>
        <w:rPr>
          <w:rFonts w:hint="eastAsia" w:ascii="仿宋" w:hAnsi="仿宋"/>
          <w:color w:val="auto"/>
          <w:spacing w:val="-6"/>
          <w:szCs w:val="32"/>
          <w:highlight w:val="none"/>
        </w:rPr>
        <w:t>徐汇区盛华景苑，</w:t>
      </w:r>
      <w:r>
        <w:rPr>
          <w:rFonts w:hint="eastAsia" w:ascii="仿宋" w:hAnsi="仿宋"/>
          <w:color w:val="auto"/>
          <w:spacing w:val="-6"/>
          <w:szCs w:val="32"/>
          <w:highlight w:val="none"/>
          <w:lang w:eastAsia="zh"/>
        </w:rPr>
        <w:t>使用均价</w:t>
      </w:r>
      <w:r>
        <w:rPr>
          <w:rFonts w:hint="eastAsia" w:ascii="仿宋" w:hAnsi="仿宋"/>
          <w:color w:val="auto"/>
          <w:spacing w:val="-6"/>
          <w:szCs w:val="32"/>
          <w:highlight w:val="none"/>
        </w:rPr>
        <w:t>44000元/平方</w:t>
      </w:r>
      <w:r>
        <w:rPr>
          <w:rFonts w:hint="eastAsia" w:ascii="仿宋" w:hAnsi="仿宋"/>
          <w:color w:val="auto"/>
          <w:spacing w:val="-6"/>
          <w:szCs w:val="32"/>
          <w:highlight w:val="none"/>
          <w:lang w:eastAsia="zh"/>
        </w:rPr>
        <w:t>米，</w:t>
      </w:r>
      <w:r>
        <w:rPr>
          <w:rFonts w:hint="eastAsia" w:ascii="仿宋" w:hAnsi="仿宋"/>
          <w:color w:val="auto"/>
          <w:spacing w:val="-6"/>
          <w:szCs w:val="32"/>
          <w:highlight w:val="none"/>
        </w:rPr>
        <w:t>一房一价；</w:t>
      </w:r>
    </w:p>
    <w:p w14:paraId="0EAA709D">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lang w:eastAsia="zh-CN"/>
        </w:rPr>
        <w:t>（</w:t>
      </w:r>
      <w:r>
        <w:rPr>
          <w:rFonts w:hint="eastAsia" w:ascii="仿宋" w:hAnsi="仿宋"/>
          <w:color w:val="auto"/>
          <w:spacing w:val="-6"/>
          <w:szCs w:val="32"/>
          <w:highlight w:val="none"/>
          <w:lang w:val="en-US" w:eastAsia="zh-CN"/>
        </w:rPr>
        <w:t>4</w:t>
      </w:r>
      <w:r>
        <w:rPr>
          <w:rFonts w:hint="eastAsia" w:ascii="仿宋" w:hAnsi="仿宋"/>
          <w:color w:val="auto"/>
          <w:spacing w:val="-6"/>
          <w:szCs w:val="32"/>
          <w:highlight w:val="none"/>
          <w:lang w:eastAsia="zh-CN"/>
        </w:rPr>
        <w:t>）</w:t>
      </w:r>
      <w:r>
        <w:rPr>
          <w:rFonts w:hint="eastAsia" w:ascii="仿宋" w:hAnsi="仿宋"/>
          <w:color w:val="auto"/>
          <w:spacing w:val="-6"/>
          <w:szCs w:val="32"/>
          <w:highlight w:val="none"/>
        </w:rPr>
        <w:t>徐汇区馨汇南苑，</w:t>
      </w:r>
      <w:r>
        <w:rPr>
          <w:rFonts w:hint="eastAsia" w:ascii="仿宋" w:hAnsi="仿宋"/>
          <w:color w:val="auto"/>
          <w:spacing w:val="-6"/>
          <w:szCs w:val="32"/>
          <w:highlight w:val="none"/>
          <w:lang w:eastAsia="zh"/>
        </w:rPr>
        <w:t>使用均价</w:t>
      </w:r>
      <w:r>
        <w:rPr>
          <w:rFonts w:hint="eastAsia" w:ascii="仿宋" w:hAnsi="仿宋"/>
          <w:color w:val="auto"/>
          <w:spacing w:val="-6"/>
          <w:szCs w:val="32"/>
          <w:highlight w:val="none"/>
        </w:rPr>
        <w:t>68000元/平方</w:t>
      </w:r>
      <w:r>
        <w:rPr>
          <w:rFonts w:hint="eastAsia" w:ascii="仿宋" w:hAnsi="仿宋"/>
          <w:color w:val="auto"/>
          <w:spacing w:val="-6"/>
          <w:szCs w:val="32"/>
          <w:highlight w:val="none"/>
          <w:lang w:eastAsia="zh"/>
        </w:rPr>
        <w:t>米，</w:t>
      </w:r>
      <w:r>
        <w:rPr>
          <w:rFonts w:hint="eastAsia" w:ascii="仿宋" w:hAnsi="仿宋"/>
          <w:color w:val="auto"/>
          <w:spacing w:val="-6"/>
          <w:szCs w:val="32"/>
          <w:highlight w:val="none"/>
        </w:rPr>
        <w:t>一房一价。</w:t>
      </w:r>
    </w:p>
    <w:p w14:paraId="3BAEF7B3">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lang w:val="en-US" w:eastAsia="zh-CN"/>
        </w:rPr>
        <w:t>2.</w:t>
      </w:r>
      <w:r>
        <w:rPr>
          <w:rFonts w:hint="eastAsia" w:ascii="仿宋" w:hAnsi="仿宋"/>
          <w:b/>
          <w:bCs/>
          <w:color w:val="auto"/>
          <w:spacing w:val="-6"/>
          <w:szCs w:val="32"/>
          <w:highlight w:val="none"/>
        </w:rPr>
        <w:t>外区房源</w:t>
      </w:r>
    </w:p>
    <w:p w14:paraId="42615E8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lang w:eastAsia="zh-CN"/>
        </w:rPr>
      </w:pPr>
      <w:r>
        <w:rPr>
          <w:rFonts w:hint="eastAsia" w:ascii="仿宋" w:hAnsi="仿宋"/>
          <w:color w:val="auto"/>
          <w:spacing w:val="-6"/>
          <w:szCs w:val="32"/>
          <w:highlight w:val="none"/>
          <w:lang w:eastAsia="zh-CN"/>
        </w:rPr>
        <w:t>（</w:t>
      </w:r>
      <w:r>
        <w:rPr>
          <w:rFonts w:hint="eastAsia" w:ascii="仿宋" w:hAnsi="仿宋"/>
          <w:color w:val="auto"/>
          <w:spacing w:val="-6"/>
          <w:szCs w:val="32"/>
          <w:highlight w:val="none"/>
          <w:lang w:val="en-US" w:eastAsia="zh-CN"/>
        </w:rPr>
        <w:t>1</w:t>
      </w:r>
      <w:r>
        <w:rPr>
          <w:rFonts w:hint="eastAsia" w:ascii="仿宋" w:hAnsi="仿宋"/>
          <w:color w:val="auto"/>
          <w:spacing w:val="-6"/>
          <w:szCs w:val="32"/>
          <w:highlight w:val="none"/>
          <w:lang w:eastAsia="zh-CN"/>
        </w:rPr>
        <w:t>）浦东新区凌耀苑、凌雪苑、凌海苑</w:t>
      </w:r>
      <w:r>
        <w:rPr>
          <w:rFonts w:hint="eastAsia" w:ascii="仿宋" w:hAnsi="仿宋"/>
          <w:color w:val="auto"/>
          <w:spacing w:val="-6"/>
          <w:szCs w:val="32"/>
          <w:highlight w:val="none"/>
          <w:lang w:val="en-US" w:eastAsia="zh-CN"/>
        </w:rPr>
        <w:t>等</w:t>
      </w:r>
      <w:r>
        <w:rPr>
          <w:rFonts w:hint="eastAsia" w:ascii="仿宋" w:hAnsi="仿宋"/>
          <w:color w:val="auto"/>
          <w:spacing w:val="-6"/>
          <w:szCs w:val="32"/>
          <w:highlight w:val="none"/>
          <w:lang w:eastAsia="zh-CN"/>
        </w:rPr>
        <w:t>，</w:t>
      </w:r>
      <w:r>
        <w:rPr>
          <w:rFonts w:hint="eastAsia" w:ascii="仿宋" w:hAnsi="仿宋"/>
          <w:color w:val="auto"/>
          <w:spacing w:val="-6"/>
          <w:szCs w:val="32"/>
          <w:highlight w:val="none"/>
          <w:lang w:eastAsia="zh"/>
        </w:rPr>
        <w:t>使用均价</w:t>
      </w:r>
      <w:r>
        <w:rPr>
          <w:rFonts w:hint="eastAsia" w:ascii="仿宋" w:hAnsi="仿宋"/>
          <w:color w:val="auto"/>
          <w:spacing w:val="-6"/>
          <w:szCs w:val="32"/>
          <w:highlight w:val="none"/>
          <w:lang w:eastAsia="zh-CN"/>
        </w:rPr>
        <w:t>37500元/平方</w:t>
      </w:r>
      <w:r>
        <w:rPr>
          <w:rFonts w:hint="eastAsia" w:ascii="仿宋" w:hAnsi="仿宋"/>
          <w:color w:val="auto"/>
          <w:spacing w:val="-6"/>
          <w:szCs w:val="32"/>
          <w:highlight w:val="none"/>
          <w:lang w:eastAsia="zh"/>
        </w:rPr>
        <w:t>米</w:t>
      </w:r>
      <w:r>
        <w:rPr>
          <w:rFonts w:hint="eastAsia" w:ascii="仿宋" w:hAnsi="仿宋"/>
          <w:color w:val="auto"/>
          <w:spacing w:val="-6"/>
          <w:szCs w:val="32"/>
          <w:highlight w:val="none"/>
          <w:lang w:eastAsia="zh-CN"/>
        </w:rPr>
        <w:t>，一房一价；</w:t>
      </w:r>
    </w:p>
    <w:p w14:paraId="2C73317D">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lang w:eastAsia="zh-CN"/>
        </w:rPr>
      </w:pPr>
      <w:r>
        <w:rPr>
          <w:rFonts w:hint="eastAsia" w:ascii="仿宋" w:hAnsi="仿宋"/>
          <w:color w:val="auto"/>
          <w:spacing w:val="-6"/>
          <w:szCs w:val="32"/>
          <w:highlight w:val="none"/>
          <w:lang w:eastAsia="zh-CN"/>
        </w:rPr>
        <w:t>（</w:t>
      </w:r>
      <w:r>
        <w:rPr>
          <w:rFonts w:hint="eastAsia" w:ascii="仿宋" w:hAnsi="仿宋"/>
          <w:color w:val="auto"/>
          <w:spacing w:val="-6"/>
          <w:szCs w:val="32"/>
          <w:highlight w:val="none"/>
          <w:lang w:val="en-US" w:eastAsia="zh-CN"/>
        </w:rPr>
        <w:t>2</w:t>
      </w:r>
      <w:r>
        <w:rPr>
          <w:rFonts w:hint="eastAsia" w:ascii="仿宋" w:hAnsi="仿宋"/>
          <w:color w:val="auto"/>
          <w:spacing w:val="-6"/>
          <w:szCs w:val="32"/>
          <w:highlight w:val="none"/>
          <w:lang w:eastAsia="zh-CN"/>
        </w:rPr>
        <w:t>）闵行区马桥景城馨苑，</w:t>
      </w:r>
      <w:r>
        <w:rPr>
          <w:rFonts w:hint="eastAsia" w:ascii="仿宋" w:hAnsi="仿宋"/>
          <w:color w:val="auto"/>
          <w:spacing w:val="-6"/>
          <w:szCs w:val="32"/>
          <w:highlight w:val="none"/>
          <w:lang w:eastAsia="zh"/>
        </w:rPr>
        <w:t>使用均价</w:t>
      </w:r>
      <w:r>
        <w:rPr>
          <w:rFonts w:hint="eastAsia" w:ascii="仿宋" w:hAnsi="仿宋"/>
          <w:color w:val="auto"/>
          <w:spacing w:val="-6"/>
          <w:szCs w:val="32"/>
          <w:highlight w:val="none"/>
          <w:lang w:eastAsia="zh-CN"/>
        </w:rPr>
        <w:t>27400元/平方</w:t>
      </w:r>
      <w:r>
        <w:rPr>
          <w:rFonts w:hint="eastAsia" w:ascii="仿宋" w:hAnsi="仿宋"/>
          <w:color w:val="auto"/>
          <w:spacing w:val="-6"/>
          <w:szCs w:val="32"/>
          <w:highlight w:val="none"/>
          <w:lang w:eastAsia="zh"/>
        </w:rPr>
        <w:t>米</w:t>
      </w:r>
      <w:r>
        <w:rPr>
          <w:rFonts w:hint="eastAsia" w:ascii="仿宋" w:hAnsi="仿宋"/>
          <w:color w:val="auto"/>
          <w:spacing w:val="-6"/>
          <w:szCs w:val="32"/>
          <w:highlight w:val="none"/>
          <w:lang w:eastAsia="zh-CN"/>
        </w:rPr>
        <w:t>，另按申购房屋建筑面积补贴9200元/平方米，一房一价；</w:t>
      </w:r>
    </w:p>
    <w:p w14:paraId="5A3E4BD8">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lang w:eastAsia="zh-CN"/>
        </w:rPr>
      </w:pPr>
      <w:r>
        <w:rPr>
          <w:rFonts w:hint="eastAsia" w:ascii="仿宋" w:hAnsi="仿宋"/>
          <w:color w:val="auto"/>
          <w:spacing w:val="-6"/>
          <w:szCs w:val="32"/>
          <w:highlight w:val="none"/>
          <w:lang w:eastAsia="zh-CN"/>
        </w:rPr>
        <w:t>（</w:t>
      </w:r>
      <w:r>
        <w:rPr>
          <w:rFonts w:hint="eastAsia" w:ascii="仿宋" w:hAnsi="仿宋"/>
          <w:color w:val="auto"/>
          <w:spacing w:val="-6"/>
          <w:szCs w:val="32"/>
          <w:highlight w:val="none"/>
          <w:lang w:val="en-US" w:eastAsia="zh-CN"/>
        </w:rPr>
        <w:t>3</w:t>
      </w:r>
      <w:r>
        <w:rPr>
          <w:rFonts w:hint="eastAsia" w:ascii="仿宋" w:hAnsi="仿宋"/>
          <w:color w:val="auto"/>
          <w:spacing w:val="-6"/>
          <w:szCs w:val="32"/>
          <w:highlight w:val="none"/>
          <w:lang w:eastAsia="zh-CN"/>
        </w:rPr>
        <w:t>）松江区新凯城，</w:t>
      </w:r>
      <w:r>
        <w:rPr>
          <w:rFonts w:hint="eastAsia" w:ascii="仿宋" w:hAnsi="仿宋"/>
          <w:color w:val="auto"/>
          <w:spacing w:val="-6"/>
          <w:szCs w:val="32"/>
          <w:highlight w:val="none"/>
          <w:lang w:eastAsia="zh"/>
        </w:rPr>
        <w:t>使用均价</w:t>
      </w:r>
      <w:r>
        <w:rPr>
          <w:rFonts w:hint="eastAsia" w:ascii="仿宋" w:hAnsi="仿宋"/>
          <w:color w:val="auto"/>
          <w:spacing w:val="-6"/>
          <w:szCs w:val="32"/>
          <w:highlight w:val="none"/>
          <w:lang w:eastAsia="zh-CN"/>
        </w:rPr>
        <w:t>27300元/平方</w:t>
      </w:r>
      <w:r>
        <w:rPr>
          <w:rFonts w:hint="eastAsia" w:ascii="仿宋" w:hAnsi="仿宋"/>
          <w:color w:val="auto"/>
          <w:spacing w:val="-6"/>
          <w:szCs w:val="32"/>
          <w:highlight w:val="none"/>
          <w:lang w:eastAsia="zh"/>
        </w:rPr>
        <w:t>米，</w:t>
      </w:r>
      <w:r>
        <w:rPr>
          <w:rFonts w:hint="eastAsia" w:ascii="仿宋" w:hAnsi="仿宋"/>
          <w:color w:val="auto"/>
          <w:spacing w:val="-6"/>
          <w:szCs w:val="32"/>
          <w:highlight w:val="none"/>
          <w:lang w:eastAsia="zh-CN"/>
        </w:rPr>
        <w:t>另按申购房屋建筑面积补贴11200元/平方米，一房一价；</w:t>
      </w:r>
    </w:p>
    <w:p w14:paraId="22F08998">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lang w:eastAsia="zh-CN"/>
        </w:rPr>
      </w:pPr>
      <w:r>
        <w:rPr>
          <w:rFonts w:hint="eastAsia" w:ascii="仿宋" w:hAnsi="仿宋"/>
          <w:color w:val="auto"/>
          <w:spacing w:val="-6"/>
          <w:szCs w:val="32"/>
          <w:highlight w:val="none"/>
          <w:lang w:eastAsia="zh-CN"/>
        </w:rPr>
        <w:t>（</w:t>
      </w:r>
      <w:r>
        <w:rPr>
          <w:rFonts w:hint="eastAsia" w:ascii="仿宋" w:hAnsi="仿宋"/>
          <w:color w:val="auto"/>
          <w:spacing w:val="-6"/>
          <w:szCs w:val="32"/>
          <w:highlight w:val="none"/>
          <w:lang w:val="en-US" w:eastAsia="zh-CN"/>
        </w:rPr>
        <w:t>4</w:t>
      </w:r>
      <w:r>
        <w:rPr>
          <w:rFonts w:hint="eastAsia" w:ascii="仿宋" w:hAnsi="仿宋"/>
          <w:color w:val="auto"/>
          <w:spacing w:val="-6"/>
          <w:szCs w:val="32"/>
          <w:highlight w:val="none"/>
          <w:lang w:eastAsia="zh-CN"/>
        </w:rPr>
        <w:t>）松江区新松嘉园，</w:t>
      </w:r>
      <w:r>
        <w:rPr>
          <w:rFonts w:hint="eastAsia" w:ascii="仿宋" w:hAnsi="仿宋"/>
          <w:color w:val="auto"/>
          <w:spacing w:val="-6"/>
          <w:szCs w:val="32"/>
          <w:highlight w:val="none"/>
          <w:lang w:eastAsia="zh"/>
        </w:rPr>
        <w:t>使用均价</w:t>
      </w:r>
      <w:r>
        <w:rPr>
          <w:rFonts w:hint="eastAsia" w:ascii="仿宋" w:hAnsi="仿宋"/>
          <w:color w:val="auto"/>
          <w:spacing w:val="-6"/>
          <w:szCs w:val="32"/>
          <w:highlight w:val="none"/>
          <w:lang w:eastAsia="zh-CN"/>
        </w:rPr>
        <w:t>27300元/平方</w:t>
      </w:r>
      <w:r>
        <w:rPr>
          <w:rFonts w:hint="eastAsia" w:ascii="仿宋" w:hAnsi="仿宋"/>
          <w:color w:val="auto"/>
          <w:spacing w:val="-6"/>
          <w:szCs w:val="32"/>
          <w:highlight w:val="none"/>
          <w:lang w:eastAsia="zh"/>
        </w:rPr>
        <w:t>米，</w:t>
      </w:r>
      <w:r>
        <w:rPr>
          <w:rFonts w:hint="eastAsia" w:ascii="仿宋" w:hAnsi="仿宋"/>
          <w:color w:val="auto"/>
          <w:spacing w:val="-6"/>
          <w:szCs w:val="32"/>
          <w:highlight w:val="none"/>
          <w:lang w:eastAsia="zh-CN"/>
        </w:rPr>
        <w:t>另按申购房屋建筑面积补贴11200元/平方米，一房一价（仅限符合条件的居住困难户申购）。</w:t>
      </w:r>
    </w:p>
    <w:p w14:paraId="00DB43D2">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lang w:val="en-US" w:eastAsia="zh-CN"/>
        </w:rPr>
        <w:t>3.</w:t>
      </w:r>
      <w:r>
        <w:rPr>
          <w:rFonts w:hint="eastAsia" w:ascii="仿宋" w:hAnsi="仿宋"/>
          <w:b/>
          <w:bCs/>
          <w:color w:val="auto"/>
          <w:spacing w:val="-6"/>
          <w:szCs w:val="32"/>
          <w:highlight w:val="none"/>
        </w:rPr>
        <w:t>零星房源</w:t>
      </w:r>
    </w:p>
    <w:p w14:paraId="76C57A38">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根据本基地实际情况适量增配部分零星房源，具体房源地址、面积、价格等另行公布。</w:t>
      </w:r>
    </w:p>
    <w:p w14:paraId="10EEB99F">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lang w:eastAsia="zh-CN"/>
        </w:rPr>
        <w:t>（二）</w:t>
      </w:r>
      <w:r>
        <w:rPr>
          <w:rFonts w:hint="eastAsia" w:ascii="楷体" w:hAnsi="楷体" w:eastAsia="楷体" w:cs="仿宋"/>
          <w:b/>
          <w:color w:val="auto"/>
          <w:spacing w:val="-6"/>
          <w:szCs w:val="32"/>
          <w:highlight w:val="none"/>
        </w:rPr>
        <w:t>本地块用于非居住房屋产权调换的房屋</w:t>
      </w:r>
    </w:p>
    <w:p w14:paraId="4DD29282">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lang w:eastAsia="zh-CN"/>
        </w:rPr>
      </w:pPr>
      <w:r>
        <w:rPr>
          <w:rFonts w:hint="eastAsia" w:ascii="仿宋" w:hAnsi="仿宋"/>
          <w:color w:val="auto"/>
          <w:spacing w:val="-6"/>
          <w:szCs w:val="32"/>
          <w:highlight w:val="none"/>
          <w:lang w:val="en-US" w:eastAsia="zh-CN"/>
        </w:rPr>
        <w:t>（1）华沁家园、华滨家园商铺，使用均价24000-34000元/平方米</w:t>
      </w:r>
      <w:r>
        <w:rPr>
          <w:rFonts w:hint="eastAsia" w:ascii="仿宋" w:hAnsi="仿宋"/>
          <w:color w:val="auto"/>
          <w:spacing w:val="-6"/>
          <w:szCs w:val="32"/>
          <w:highlight w:val="none"/>
          <w:lang w:eastAsia="zh-CN"/>
        </w:rPr>
        <w:t>，一房一价</w:t>
      </w:r>
      <w:r>
        <w:rPr>
          <w:rFonts w:hint="eastAsia" w:ascii="仿宋" w:hAnsi="仿宋"/>
          <w:color w:val="auto"/>
          <w:spacing w:val="-6"/>
          <w:szCs w:val="32"/>
          <w:highlight w:val="none"/>
          <w:lang w:val="en-US" w:eastAsia="zh-CN"/>
        </w:rPr>
        <w:t xml:space="preserve">； </w:t>
      </w:r>
    </w:p>
    <w:p w14:paraId="0D7130D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lang w:eastAsia="zh-CN"/>
        </w:rPr>
      </w:pPr>
      <w:r>
        <w:rPr>
          <w:rFonts w:hint="eastAsia" w:ascii="仿宋" w:hAnsi="仿宋"/>
          <w:color w:val="auto"/>
          <w:spacing w:val="-6"/>
          <w:szCs w:val="32"/>
          <w:highlight w:val="none"/>
          <w:lang w:val="en-US" w:eastAsia="zh-CN"/>
        </w:rPr>
        <w:t>（2）万科中心办公房，使用均价40450元/平方米</w:t>
      </w:r>
      <w:r>
        <w:rPr>
          <w:rFonts w:hint="eastAsia" w:ascii="仿宋" w:hAnsi="仿宋"/>
          <w:color w:val="auto"/>
          <w:spacing w:val="-6"/>
          <w:szCs w:val="32"/>
          <w:highlight w:val="none"/>
          <w:lang w:eastAsia="zh-CN"/>
        </w:rPr>
        <w:t>，一房一价</w:t>
      </w:r>
      <w:r>
        <w:rPr>
          <w:rFonts w:hint="eastAsia" w:ascii="仿宋" w:hAnsi="仿宋"/>
          <w:color w:val="auto"/>
          <w:spacing w:val="-6"/>
          <w:szCs w:val="32"/>
          <w:highlight w:val="none"/>
          <w:lang w:val="en-US" w:eastAsia="zh-CN"/>
        </w:rPr>
        <w:t>。</w:t>
      </w:r>
    </w:p>
    <w:p w14:paraId="777CDE65">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lang w:eastAsia="zh-CN"/>
        </w:rPr>
        <w:t>（三）</w:t>
      </w:r>
      <w:r>
        <w:rPr>
          <w:rFonts w:hint="eastAsia" w:ascii="楷体" w:hAnsi="楷体" w:eastAsia="楷体" w:cs="仿宋"/>
          <w:b/>
          <w:color w:val="auto"/>
          <w:spacing w:val="-6"/>
          <w:szCs w:val="32"/>
          <w:highlight w:val="none"/>
        </w:rPr>
        <w:t>本地块用于征收补偿决定的房源</w:t>
      </w:r>
    </w:p>
    <w:p w14:paraId="0C6CB7D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夏朵小城（银春路1799弄）等，按房地产市场评估价使用。</w:t>
      </w:r>
    </w:p>
    <w:p w14:paraId="41D4686D">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以上房源具体地址、面积、价格等另行公布。</w:t>
      </w:r>
    </w:p>
    <w:p w14:paraId="0CB6EA7A">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lang w:eastAsia="zh-CN"/>
        </w:rPr>
        <w:t>（四）</w:t>
      </w:r>
      <w:r>
        <w:rPr>
          <w:rFonts w:hint="eastAsia" w:ascii="楷体" w:hAnsi="楷体" w:eastAsia="楷体" w:cs="仿宋"/>
          <w:b/>
          <w:color w:val="auto"/>
          <w:spacing w:val="-6"/>
          <w:szCs w:val="32"/>
          <w:highlight w:val="none"/>
        </w:rPr>
        <w:t>房屋产权调换选购方法</w:t>
      </w:r>
    </w:p>
    <w:p w14:paraId="604E0BBB">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（1）凡选择本地块产权调换房源的被征收人、公有房屋承租人，必须按规定签订房屋征收补偿协议。</w:t>
      </w:r>
    </w:p>
    <w:p w14:paraId="2D24F4BA">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每证原则上限在本地块公示的产权调换房屋中申购1套房源。被征收的为居住房屋的，限申购居住安置房源。被征收的为非居住房屋的，限申购非居住安置房源。被征收的为居非兼用房屋的，限申购1套居住安置房源。</w:t>
      </w:r>
    </w:p>
    <w:p w14:paraId="7DCD5DB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（3）被征收的为居住房屋的，申购本地块产权调换房屋的总价不得超过被征收房屋补偿金额（即被征收房屋的评估价格+价格补贴+套型面积补贴或成套价格补贴，本方案有特别规定的，从其规定）。</w:t>
      </w:r>
    </w:p>
    <w:p w14:paraId="4A90D64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（4）符合条件的居住困难户，增加的困难户保障补贴可用于申购本地块公示的征收安置房源（仅限松江区新松嘉园）。</w:t>
      </w:r>
    </w:p>
    <w:p w14:paraId="317A110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（5）被征收的为非居住房屋的，申购本地块产权调换房屋的总价不得超过被征收房屋的补偿金额（即被征收房屋的评估价格）。</w:t>
      </w:r>
    </w:p>
    <w:p w14:paraId="32EC1734">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（6）实行“先签约、先选择、先购买”原则，购完为止。</w:t>
      </w:r>
    </w:p>
    <w:p w14:paraId="264301A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（7）签约期结束后，根据实际房源使用情况退回多余的房源。</w:t>
      </w:r>
    </w:p>
    <w:p w14:paraId="73A4373D">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房屋产权调换选购办法以具体选房办法为准，具体选房办法另行公布。</w:t>
      </w:r>
    </w:p>
    <w:p w14:paraId="7DE826DA">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二十、房屋征收评估机构</w:t>
      </w:r>
    </w:p>
    <w:p w14:paraId="0AC9B44F">
      <w:pPr>
        <w:keepNext w:val="0"/>
        <w:keepLines w:val="0"/>
        <w:pageBreakBefore w:val="0"/>
        <w:widowControl w:val="0"/>
        <w:kinsoku/>
        <w:overflowPunct/>
        <w:topLinePunct w:val="0"/>
        <w:autoSpaceDE/>
        <w:autoSpaceDN/>
        <w:bidi w:val="0"/>
        <w:adjustRightInd w:val="0"/>
        <w:snapToGrid w:val="0"/>
        <w:spacing w:line="500" w:lineRule="exact"/>
        <w:ind w:firstLine="616" w:firstLineChars="200"/>
        <w:jc w:val="left"/>
        <w:textAlignment w:val="auto"/>
        <w:rPr>
          <w:rFonts w:hint="eastAsia" w:ascii="仿宋" w:hAnsi="仿宋" w:eastAsia="仿宋_GB2312"/>
          <w:spacing w:val="-6"/>
          <w:sz w:val="32"/>
          <w:szCs w:val="32"/>
          <w:highlight w:val="none"/>
        </w:rPr>
      </w:pPr>
      <w:r>
        <w:rPr>
          <w:rFonts w:hint="eastAsia" w:ascii="仿宋" w:hAnsi="仿宋" w:eastAsia="仿宋_GB2312"/>
          <w:spacing w:val="-6"/>
          <w:sz w:val="32"/>
          <w:szCs w:val="32"/>
          <w:highlight w:val="none"/>
        </w:rPr>
        <w:t>房屋征收评估机构为：上海联</w:t>
      </w:r>
      <w:r>
        <w:rPr>
          <w:rFonts w:hint="eastAsia" w:ascii="仿宋" w:hAnsi="仿宋"/>
          <w:spacing w:val="-6"/>
          <w:sz w:val="32"/>
          <w:szCs w:val="32"/>
          <w:highlight w:val="none"/>
          <w:lang w:val="en-US" w:eastAsia="zh-CN"/>
        </w:rPr>
        <w:t>城</w:t>
      </w:r>
      <w:r>
        <w:rPr>
          <w:rFonts w:hint="eastAsia" w:ascii="仿宋" w:hAnsi="仿宋" w:eastAsia="仿宋_GB2312"/>
          <w:spacing w:val="-6"/>
          <w:sz w:val="32"/>
          <w:szCs w:val="32"/>
          <w:highlight w:val="none"/>
        </w:rPr>
        <w:t>房地产评估咨询有限公司</w:t>
      </w:r>
    </w:p>
    <w:p w14:paraId="201C01DD">
      <w:pPr>
        <w:keepNext w:val="0"/>
        <w:keepLines w:val="0"/>
        <w:pageBreakBefore w:val="0"/>
        <w:widowControl w:val="0"/>
        <w:kinsoku/>
        <w:overflowPunct/>
        <w:topLinePunct w:val="0"/>
        <w:autoSpaceDE/>
        <w:autoSpaceDN/>
        <w:bidi w:val="0"/>
        <w:adjustRightInd w:val="0"/>
        <w:snapToGrid w:val="0"/>
        <w:spacing w:line="500" w:lineRule="exact"/>
        <w:ind w:firstLine="3696" w:firstLineChars="1200"/>
        <w:jc w:val="left"/>
        <w:textAlignment w:val="auto"/>
        <w:rPr>
          <w:rFonts w:hint="eastAsia" w:ascii="仿宋" w:hAnsi="仿宋" w:eastAsia="仿宋_GB2312" w:cs="Calibri"/>
          <w:spacing w:val="-6"/>
          <w:sz w:val="32"/>
          <w:szCs w:val="32"/>
          <w:highlight w:val="none"/>
        </w:rPr>
      </w:pPr>
      <w:r>
        <w:rPr>
          <w:rFonts w:hint="eastAsia" w:ascii="仿宋" w:hAnsi="仿宋" w:eastAsia="仿宋_GB2312"/>
          <w:spacing w:val="-6"/>
          <w:sz w:val="32"/>
          <w:szCs w:val="32"/>
          <w:highlight w:val="none"/>
        </w:rPr>
        <w:t>上海东洲房地产土地估价有限公</w:t>
      </w:r>
      <w:r>
        <w:rPr>
          <w:rFonts w:hint="eastAsia" w:ascii="仿宋" w:hAnsi="仿宋" w:eastAsia="仿宋_GB2312"/>
          <w:spacing w:val="-11"/>
          <w:sz w:val="32"/>
          <w:szCs w:val="32"/>
          <w:highlight w:val="none"/>
        </w:rPr>
        <w:t>司</w:t>
      </w:r>
    </w:p>
    <w:p w14:paraId="5B2412E7">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二十一、征收部门及受委托的房屋征收事务所</w:t>
      </w:r>
    </w:p>
    <w:p w14:paraId="11F61E75">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征收部门：上海市徐汇区住房保障和房屋管理局</w:t>
      </w:r>
    </w:p>
    <w:p w14:paraId="29FB2F9E">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受委托的房屋征收事务所：上海市徐汇第一房屋征收服务事务所有限公司</w:t>
      </w:r>
    </w:p>
    <w:p w14:paraId="245E9452">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现场办公地址：江南新村片区项目办公室</w:t>
      </w:r>
    </w:p>
    <w:p w14:paraId="5B6CD20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现场办公时间：周一至周日9:00至21:00</w:t>
      </w:r>
    </w:p>
    <w:p w14:paraId="78C30267">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办公电话：13482606630</w:t>
      </w:r>
    </w:p>
    <w:p w14:paraId="6C4026C5">
      <w:pPr>
        <w:keepNext w:val="0"/>
        <w:keepLines w:val="0"/>
        <w:pageBreakBefore w:val="0"/>
        <w:widowControl w:val="0"/>
        <w:kinsoku/>
        <w:overflowPunct/>
        <w:topLinePunct w:val="0"/>
        <w:autoSpaceDE/>
        <w:autoSpaceDN/>
        <w:bidi w:val="0"/>
        <w:adjustRightInd w:val="0"/>
        <w:snapToGrid w:val="0"/>
        <w:spacing w:line="480" w:lineRule="exact"/>
        <w:ind w:firstLine="640" w:firstLineChars="200"/>
        <w:textAlignment w:val="auto"/>
        <w:rPr>
          <w:rFonts w:hint="eastAsia" w:ascii="黑体" w:hAnsi="黑体" w:eastAsia="黑体"/>
          <w:bCs/>
          <w:szCs w:val="32"/>
        </w:rPr>
      </w:pPr>
      <w:r>
        <w:rPr>
          <w:rFonts w:hint="eastAsia" w:ascii="黑体" w:hAnsi="黑体" w:eastAsia="黑体"/>
          <w:bCs/>
          <w:szCs w:val="32"/>
        </w:rPr>
        <w:t>二十二、其他事项</w:t>
      </w:r>
    </w:p>
    <w:p w14:paraId="741C4F6C">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房屋征收补偿协议应当由房屋征收部门与被征收人、公有房屋承租人签订。签订征收补偿协议的被征收人、公有房屋承租人应当负责安置房屋使用人、共同居住人。若上述签约人因故不能亲自签约，可依法委托他人签约，必须提供委托双方在征收事务所工作人员的见证下当面签名盖章的书面委托书或经公证机关公证的委托书。</w:t>
      </w:r>
    </w:p>
    <w:p w14:paraId="7D1FC5D0">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房屋征收补偿协议签订后，被征收人、公有房屋承租人应当在征收补偿协议或者房屋征收补偿决定确定的搬迁期限内搬迁，并负责将房屋使用人和共同居住人迁出。房屋使用人或共同居住人未迁出的，视同被征收人、公有房屋承租人未完成搬迁。</w:t>
      </w:r>
    </w:p>
    <w:p w14:paraId="46F4A5D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根据《关于加强本市房屋征收（拆迁）基地水、电、燃气等公共设施使用管理的通知》（沪建交联〔2011〕846号）规定，房屋征收补偿协议签订后，被征收人、公有房屋承租人在房屋征收补偿协议或者房屋征收补偿决定确定的搬迁期间内完成搬迁后，应当在房屋征收部门与被征收人、公有房屋承租人结算征收补偿费用前结清被征收房屋的水、电、燃气等相关费用，房屋征收部门在收到相应支付凭证后按协议约定期限支付货币款。</w:t>
      </w:r>
    </w:p>
    <w:p w14:paraId="328AE486">
      <w:pPr>
        <w:keepNext w:val="0"/>
        <w:keepLines w:val="0"/>
        <w:pageBreakBefore w:val="0"/>
        <w:widowControl w:val="0"/>
        <w:kinsoku/>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4.本房屋征收与补偿方案中的货币单位为人民币。</w:t>
      </w:r>
    </w:p>
    <w:p w14:paraId="156DC418">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特别告知：</w:t>
      </w:r>
    </w:p>
    <w:p w14:paraId="2F089746">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1.签约当事人选择货币补偿的，需签订《上海市国有土地上房屋征收补偿协议》；选择申购房屋产权调换的，需签订《上海市国有土地上房屋征收补偿协议》和相关认购材料。</w:t>
      </w:r>
    </w:p>
    <w:p w14:paraId="77A02800">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在征收补偿方案确定的期限内达不成补偿协议或被征收房屋所有权人不明确的，由房屋征收部门报徐汇区人民政府，经徐汇区人民政府作出房屋征收补偿决定。用于征收补偿决定房源的具体房源地址、面积、安置价格等另行公布。房屋征收补偿决定以市场价值调换房源进行补偿，不再享受征收安置房源使用定价等征收安置房方案。</w:t>
      </w:r>
    </w:p>
    <w:p w14:paraId="5E854B1A">
      <w:pPr>
        <w:keepNext w:val="0"/>
        <w:keepLines w:val="0"/>
        <w:pageBreakBefore w:val="0"/>
        <w:widowControl w:val="0"/>
        <w:kinsoku/>
        <w:overflowPunct/>
        <w:topLinePunct w:val="0"/>
        <w:autoSpaceDE/>
        <w:autoSpaceDN/>
        <w:bidi w:val="0"/>
        <w:spacing w:line="480" w:lineRule="exact"/>
        <w:ind w:firstLine="619" w:firstLineChars="200"/>
        <w:textAlignment w:val="auto"/>
        <w:rPr>
          <w:rFonts w:ascii="仿宋_GB2312" w:hAnsi="仿宋"/>
          <w:b/>
          <w:bCs/>
          <w:spacing w:val="-6"/>
          <w:szCs w:val="32"/>
        </w:rPr>
      </w:pPr>
    </w:p>
    <w:p w14:paraId="3A9F130A">
      <w:pPr>
        <w:keepNext w:val="0"/>
        <w:keepLines w:val="0"/>
        <w:pageBreakBefore w:val="0"/>
        <w:widowControl w:val="0"/>
        <w:kinsoku/>
        <w:wordWrap w:val="0"/>
        <w:overflowPunct/>
        <w:topLinePunct w:val="0"/>
        <w:autoSpaceDE/>
        <w:autoSpaceDN/>
        <w:bidi w:val="0"/>
        <w:snapToGrid w:val="0"/>
        <w:spacing w:line="480" w:lineRule="exact"/>
        <w:ind w:firstLine="616" w:firstLineChars="200"/>
        <w:jc w:val="right"/>
        <w:textAlignment w:val="auto"/>
        <w:rPr>
          <w:rFonts w:hint="default" w:ascii="仿宋" w:hAnsi="仿宋" w:eastAsia="仿宋_GB2312"/>
          <w:color w:val="auto"/>
          <w:spacing w:val="-6"/>
          <w:szCs w:val="32"/>
          <w:highlight w:val="none"/>
          <w:lang w:val="en-US" w:eastAsia="zh-CN"/>
        </w:rPr>
      </w:pPr>
      <w:r>
        <w:rPr>
          <w:rFonts w:hint="eastAsia" w:ascii="仿宋" w:hAnsi="仿宋"/>
          <w:color w:val="auto"/>
          <w:spacing w:val="-6"/>
          <w:szCs w:val="32"/>
          <w:highlight w:val="none"/>
        </w:rPr>
        <w:t>上海市徐汇区</w:t>
      </w:r>
      <w:r>
        <w:rPr>
          <w:rFonts w:hint="eastAsia" w:ascii="仿宋" w:hAnsi="仿宋"/>
          <w:color w:val="auto"/>
          <w:spacing w:val="-6"/>
          <w:szCs w:val="32"/>
          <w:highlight w:val="none"/>
          <w:lang w:eastAsia="zh-CN"/>
        </w:rPr>
        <w:t>人民政府</w:t>
      </w:r>
      <w:r>
        <w:rPr>
          <w:rFonts w:hint="eastAsia" w:ascii="仿宋" w:hAnsi="仿宋"/>
          <w:color w:val="auto"/>
          <w:spacing w:val="-6"/>
          <w:szCs w:val="32"/>
          <w:highlight w:val="none"/>
          <w:lang w:val="en-US" w:eastAsia="zh-CN"/>
        </w:rPr>
        <w:t xml:space="preserve">    </w:t>
      </w:r>
    </w:p>
    <w:p w14:paraId="287BFB5D">
      <w:pPr>
        <w:keepNext w:val="0"/>
        <w:keepLines w:val="0"/>
        <w:pageBreakBefore w:val="0"/>
        <w:widowControl w:val="0"/>
        <w:kinsoku/>
        <w:wordWrap w:val="0"/>
        <w:overflowPunct/>
        <w:topLinePunct w:val="0"/>
        <w:autoSpaceDE/>
        <w:autoSpaceDN/>
        <w:bidi w:val="0"/>
        <w:snapToGrid w:val="0"/>
        <w:spacing w:line="480" w:lineRule="exact"/>
        <w:ind w:firstLine="616" w:firstLineChars="200"/>
        <w:jc w:val="right"/>
        <w:textAlignment w:val="auto"/>
      </w:pPr>
      <w:r>
        <w:rPr>
          <w:rFonts w:hint="eastAsia" w:ascii="仿宋" w:hAnsi="仿宋"/>
          <w:color w:val="auto"/>
          <w:spacing w:val="-6"/>
          <w:szCs w:val="32"/>
          <w:highlight w:val="none"/>
        </w:rPr>
        <w:t>2025年</w:t>
      </w:r>
      <w:r>
        <w:rPr>
          <w:rFonts w:hint="eastAsia" w:ascii="仿宋" w:hAnsi="仿宋"/>
          <w:color w:val="auto"/>
          <w:spacing w:val="-6"/>
          <w:szCs w:val="32"/>
          <w:highlight w:val="none"/>
          <w:lang w:val="en-US" w:eastAsia="zh-CN"/>
        </w:rPr>
        <w:t>10</w:t>
      </w:r>
      <w:r>
        <w:rPr>
          <w:rFonts w:hint="eastAsia" w:ascii="仿宋" w:hAnsi="仿宋"/>
          <w:color w:val="auto"/>
          <w:spacing w:val="-6"/>
          <w:szCs w:val="32"/>
          <w:highlight w:val="none"/>
        </w:rPr>
        <w:t>月</w:t>
      </w:r>
      <w:r>
        <w:rPr>
          <w:rFonts w:hint="eastAsia" w:ascii="仿宋" w:hAnsi="仿宋"/>
          <w:color w:val="auto"/>
          <w:spacing w:val="-6"/>
          <w:szCs w:val="32"/>
          <w:highlight w:val="none"/>
          <w:lang w:val="en-US" w:eastAsia="zh-CN"/>
        </w:rPr>
        <w:t>22</w:t>
      </w:r>
      <w:r>
        <w:rPr>
          <w:rFonts w:hint="eastAsia" w:ascii="仿宋" w:hAnsi="仿宋"/>
          <w:color w:val="auto"/>
          <w:spacing w:val="-6"/>
          <w:szCs w:val="32"/>
          <w:highlight w:val="none"/>
        </w:rPr>
        <w:t xml:space="preserve">日  </w:t>
      </w:r>
      <w:r>
        <w:rPr>
          <w:rFonts w:hint="eastAsia" w:ascii="仿宋" w:hAnsi="仿宋"/>
          <w:color w:val="auto"/>
          <w:spacing w:val="-6"/>
          <w:szCs w:val="32"/>
          <w:highlight w:val="none"/>
          <w:lang w:val="en-US" w:eastAsia="zh-CN"/>
        </w:rPr>
        <w:t xml:space="preserve">   </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221E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FC7CE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4FC7CE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F11F96"/>
    <w:rsid w:val="048E192D"/>
    <w:rsid w:val="088176B4"/>
    <w:rsid w:val="096C576F"/>
    <w:rsid w:val="0B086DFD"/>
    <w:rsid w:val="0C8D626F"/>
    <w:rsid w:val="0CF95D8D"/>
    <w:rsid w:val="0DDA2DC7"/>
    <w:rsid w:val="0ED939EE"/>
    <w:rsid w:val="11051D0C"/>
    <w:rsid w:val="12B564B8"/>
    <w:rsid w:val="12F11F96"/>
    <w:rsid w:val="13122ABD"/>
    <w:rsid w:val="1DB90B44"/>
    <w:rsid w:val="1DF20F24"/>
    <w:rsid w:val="22B80B18"/>
    <w:rsid w:val="28757E8F"/>
    <w:rsid w:val="33FA34D4"/>
    <w:rsid w:val="357B64A2"/>
    <w:rsid w:val="366D4E20"/>
    <w:rsid w:val="390F63CA"/>
    <w:rsid w:val="396B3311"/>
    <w:rsid w:val="3C1132C8"/>
    <w:rsid w:val="44034F18"/>
    <w:rsid w:val="48D07A24"/>
    <w:rsid w:val="4B963850"/>
    <w:rsid w:val="53D837D4"/>
    <w:rsid w:val="5616066A"/>
    <w:rsid w:val="5C6B478E"/>
    <w:rsid w:val="5D5E14CB"/>
    <w:rsid w:val="5DC75744"/>
    <w:rsid w:val="5E992877"/>
    <w:rsid w:val="5F69431B"/>
    <w:rsid w:val="601B093B"/>
    <w:rsid w:val="60F50250"/>
    <w:rsid w:val="61543FF9"/>
    <w:rsid w:val="61831693"/>
    <w:rsid w:val="6303123A"/>
    <w:rsid w:val="65565F75"/>
    <w:rsid w:val="675D7E8D"/>
    <w:rsid w:val="6AC44C3E"/>
    <w:rsid w:val="6E943B39"/>
    <w:rsid w:val="6F2471D4"/>
    <w:rsid w:val="6F60630B"/>
    <w:rsid w:val="6F63625D"/>
    <w:rsid w:val="6F8F2BAE"/>
    <w:rsid w:val="708B5A6B"/>
    <w:rsid w:val="73BE4C46"/>
    <w:rsid w:val="76151AFF"/>
    <w:rsid w:val="7D250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9806</Words>
  <Characters>10252</Characters>
  <Lines>0</Lines>
  <Paragraphs>0</Paragraphs>
  <TotalTime>2</TotalTime>
  <ScaleCrop>false</ScaleCrop>
  <LinksUpToDate>false</LinksUpToDate>
  <CharactersWithSpaces>10278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2025-09-17T01:34:00Z</dcterms:created>
  <dc:creator>Joyce</dc:creator>
  <cp:lastModifiedBy>Joyce</cp:lastModifiedBy>
  <dcterms:modified xsi:type="dcterms:W3CDTF">2025-10-21T07:37:00Z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82F7742C7D6049C0B1C40E031E0A4233_13</vt:lpwstr>
  </property>
  <property fmtid="{D5CDD505-2E9C-101B-9397-08002B2CF9AE}" pid="4" name="KSOTemplateDocerSaveRecord">
    <vt:lpwstr>eyJoZGlkIjoiZTI1MzI5OWNmZDU4ZDQ1ZWM5ZDY0ZTY0MzViZTkzZDciLCJ1c2VySWQiOiI0ODA0MDYwNzgifQ==</vt:lpwstr>
  </property>
</Properties>
</file>