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bidi w:val="0"/>
        <w:jc w:val="center"/>
        <w:rPr>
          <w:rFonts w:hint="default"/>
          <w:lang w:val="en-US" w:eastAsia="zh-CN"/>
        </w:rPr>
      </w:pPr>
      <w:r>
        <w:rPr>
          <w:rFonts w:hint="eastAsia"/>
          <w:lang w:eastAsia="zh-CN"/>
        </w:rPr>
        <w:t>区金融办</w:t>
      </w:r>
      <w:r>
        <w:rPr>
          <w:rFonts w:hint="eastAsia"/>
          <w:lang w:val="en-US" w:eastAsia="zh-CN"/>
        </w:rPr>
        <w:t>2023年法治政府建设年度报告</w:t>
      </w:r>
    </w:p>
    <w:p>
      <w:pPr>
        <w:rPr>
          <w:rFonts w:hint="eastAsia"/>
          <w:lang w:eastAsia="zh-CN"/>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法治政府建设</w:t>
      </w:r>
      <w:r>
        <w:rPr>
          <w:rFonts w:hint="default" w:ascii="仿宋" w:hAnsi="仿宋" w:eastAsia="仿宋" w:cs="仿宋_GB2312"/>
          <w:sz w:val="32"/>
          <w:szCs w:val="32"/>
          <w:lang w:val="en-US" w:eastAsia="zh-CN"/>
        </w:rPr>
        <w:t>是全面依法治国的重点任务和主体工程。</w:t>
      </w:r>
      <w:r>
        <w:rPr>
          <w:rFonts w:hint="eastAsia" w:ascii="仿宋" w:hAnsi="仿宋" w:eastAsia="仿宋" w:cs="仿宋_GB2312"/>
          <w:sz w:val="32"/>
          <w:szCs w:val="32"/>
          <w:lang w:val="en-US" w:eastAsia="zh-CN"/>
        </w:rPr>
        <w:t>2023年区金融办开展学习贯彻习近平新时代中国特色社会主义思想主题教育，</w:t>
      </w:r>
      <w:r>
        <w:rPr>
          <w:rFonts w:hint="eastAsia" w:ascii="仿宋" w:hAnsi="仿宋" w:eastAsia="仿宋" w:cs="仿宋_GB2312"/>
          <w:sz w:val="32"/>
          <w:szCs w:val="32"/>
          <w:lang w:val="en-US" w:eastAsia="zh-CN"/>
        </w:rPr>
        <w:t>紧紧围绕区委区政府决策部署，认真贯彻落实市区两级关于法治政府建设工作要点与责任分工部署，积极推动区域金融服务实体经济，多层次、全维度开展类金融风险排查，建立块区全覆盖的信息通联机制，分类分级加强预警监控，全面推进落实法治政府建设工作。</w:t>
      </w:r>
    </w:p>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主要举措与成效</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_GB2312"/>
          <w:sz w:val="32"/>
          <w:szCs w:val="32"/>
          <w:lang w:val="en-US" w:eastAsia="zh-CN"/>
        </w:rPr>
      </w:pPr>
      <w:r>
        <w:rPr>
          <w:rFonts w:hint="eastAsia" w:ascii="仿宋" w:hAnsi="仿宋" w:eastAsia="仿宋" w:cs="仿宋_GB2312"/>
          <w:b/>
          <w:bCs/>
          <w:sz w:val="32"/>
          <w:szCs w:val="32"/>
          <w:lang w:val="en-US" w:eastAsia="zh-CN"/>
        </w:rPr>
        <w:t>扎实开展主题教育，加强法治理论学习。</w:t>
      </w:r>
      <w:r>
        <w:rPr>
          <w:rFonts w:hint="eastAsia" w:ascii="仿宋" w:hAnsi="仿宋" w:eastAsia="仿宋" w:cs="仿宋_GB2312"/>
          <w:sz w:val="32"/>
          <w:szCs w:val="32"/>
          <w:lang w:val="en-US" w:eastAsia="zh-CN"/>
        </w:rPr>
        <w:t>结合学习贯彻习近平新时代中国特色社会主义思想主题教育，区金融办着力强化真学真会，班子成员带头加强学习，增加中心组和全办学习计划关于</w:t>
      </w:r>
      <w:r>
        <w:rPr>
          <w:rFonts w:hint="eastAsia" w:ascii="仿宋" w:hAnsi="仿宋" w:eastAsia="仿宋" w:cs="仿宋_GB2312"/>
          <w:sz w:val="32"/>
          <w:szCs w:val="32"/>
          <w:lang w:val="zh-TW" w:eastAsia="zh-CN"/>
        </w:rPr>
        <w:t>习近平法治思想内容，包括自觉学习央视和共产党员网直播的习近平新时代中国特色社会主义思想《党课开讲啦》节目，组织观后感想交流；邀请市委党校老师围绕《习近平在上海》等作专题辅导报告，加深事迹理解；</w:t>
      </w:r>
      <w:r>
        <w:rPr>
          <w:rFonts w:hint="eastAsia" w:ascii="仿宋" w:hAnsi="仿宋" w:eastAsia="仿宋" w:cs="仿宋_GB2312"/>
          <w:sz w:val="32"/>
          <w:szCs w:val="32"/>
          <w:lang w:val="en-US" w:eastAsia="zh-CN"/>
        </w:rPr>
        <w:t>参与区“学习习近平法治思想 提升高水平法治供给能力”专题培训；组织全办座谈学习“习近平关于全面依法治国重要论述”精神，结合各自工作交流法治思想意义等。</w:t>
      </w:r>
      <w:r>
        <w:rPr>
          <w:rFonts w:hint="default" w:ascii="仿宋" w:hAnsi="仿宋" w:eastAsia="仿宋"/>
          <w:b w:val="0"/>
          <w:bCs w:val="0"/>
          <w:sz w:val="32"/>
          <w:szCs w:val="32"/>
          <w:lang w:val="en-US" w:eastAsia="zh-CN"/>
        </w:rPr>
        <w:t>进一步</w:t>
      </w:r>
      <w:r>
        <w:rPr>
          <w:rFonts w:hint="eastAsia" w:ascii="仿宋" w:hAnsi="仿宋" w:eastAsia="仿宋"/>
          <w:b w:val="0"/>
          <w:bCs w:val="0"/>
          <w:sz w:val="32"/>
          <w:szCs w:val="32"/>
          <w:lang w:val="en-US" w:eastAsia="zh-CN"/>
        </w:rPr>
        <w:t>将</w:t>
      </w:r>
      <w:r>
        <w:rPr>
          <w:rFonts w:hint="default" w:ascii="仿宋" w:hAnsi="仿宋" w:eastAsia="仿宋"/>
          <w:b w:val="0"/>
          <w:bCs w:val="0"/>
          <w:sz w:val="32"/>
          <w:szCs w:val="32"/>
          <w:lang w:val="en-US" w:eastAsia="zh-CN"/>
        </w:rPr>
        <w:t>思想和行动统一到</w:t>
      </w:r>
      <w:r>
        <w:rPr>
          <w:rFonts w:hint="eastAsia" w:ascii="仿宋" w:hAnsi="仿宋" w:eastAsia="仿宋" w:cs="仿宋_GB2312"/>
          <w:sz w:val="32"/>
          <w:szCs w:val="32"/>
          <w:lang w:val="en-US" w:eastAsia="zh-CN"/>
        </w:rPr>
        <w:t>法治政府建设上。</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_GB2312"/>
          <w:sz w:val="32"/>
          <w:szCs w:val="32"/>
          <w:lang w:val="en-US" w:eastAsia="zh-CN"/>
        </w:rPr>
      </w:pPr>
      <w:r>
        <w:rPr>
          <w:rFonts w:hint="eastAsia" w:ascii="仿宋" w:hAnsi="仿宋" w:eastAsia="仿宋" w:cs="仿宋_GB2312"/>
          <w:b/>
          <w:bCs/>
          <w:sz w:val="32"/>
          <w:szCs w:val="32"/>
          <w:lang w:val="en-US" w:eastAsia="zh-CN"/>
        </w:rPr>
        <w:t>运用科技优化监管，防范化解金融风险</w:t>
      </w:r>
      <w:r>
        <w:rPr>
          <w:rFonts w:hint="eastAsia" w:ascii="仿宋" w:hAnsi="仿宋" w:eastAsia="仿宋" w:cs="仿宋_GB2312"/>
          <w:sz w:val="32"/>
          <w:szCs w:val="32"/>
          <w:lang w:val="en-US" w:eastAsia="zh-CN"/>
        </w:rPr>
        <w:t>。积极开展与金融科技企业合作，通过建立“一库一平台”（监管政策知识库+</w:t>
      </w:r>
      <w:r>
        <w:rPr>
          <w:rFonts w:hint="default" w:ascii="仿宋" w:hAnsi="仿宋" w:eastAsia="仿宋" w:cs="仿宋_GB2312"/>
          <w:sz w:val="32"/>
          <w:szCs w:val="32"/>
          <w:lang w:val="en-US" w:eastAsia="zh-CN"/>
        </w:rPr>
        <w:t>智能舆情监测平台</w:t>
      </w:r>
      <w:r>
        <w:rPr>
          <w:rFonts w:hint="eastAsia" w:ascii="仿宋" w:hAnsi="仿宋" w:eastAsia="仿宋" w:cs="仿宋_GB2312"/>
          <w:sz w:val="32"/>
          <w:szCs w:val="32"/>
          <w:lang w:val="en-US" w:eastAsia="zh-CN"/>
        </w:rPr>
        <w:t>），准确把握类金融风险动向；用好“一谱一系统”（</w:t>
      </w:r>
      <w:r>
        <w:rPr>
          <w:rFonts w:hint="default" w:ascii="仿宋" w:hAnsi="仿宋" w:eastAsia="仿宋" w:cs="仿宋_GB2312"/>
          <w:sz w:val="32"/>
          <w:szCs w:val="32"/>
          <w:lang w:val="en-US" w:eastAsia="zh-CN"/>
        </w:rPr>
        <w:t>潘多拉知识图谱</w:t>
      </w:r>
      <w:r>
        <w:rPr>
          <w:rFonts w:hint="eastAsia" w:ascii="仿宋" w:hAnsi="仿宋" w:eastAsia="仿宋" w:cs="仿宋_GB2312"/>
          <w:sz w:val="32"/>
          <w:szCs w:val="32"/>
          <w:lang w:val="en-US" w:eastAsia="zh-CN"/>
        </w:rPr>
        <w:t>+伽马风险预警系统），对企业的关联关系、多平台信息进行深度学习研判，挖掘深层次风险；画好“一像一指引”（类金融风险企业多维画像+风险排查指引），对存在风险可能的企业开展全面排查。写好“一表一报告”（分类风险名单表+金融风险排查处置分析报告），常态化做好预警防控。</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_GB2312"/>
          <w:sz w:val="32"/>
          <w:szCs w:val="32"/>
          <w:lang w:val="zh-TW" w:eastAsia="zh-CN"/>
        </w:rPr>
      </w:pPr>
      <w:r>
        <w:rPr>
          <w:rFonts w:hint="eastAsia" w:ascii="仿宋" w:hAnsi="仿宋" w:eastAsia="仿宋" w:cs="仿宋_GB2312"/>
          <w:b/>
          <w:bCs/>
          <w:sz w:val="32"/>
          <w:szCs w:val="32"/>
          <w:lang w:val="en-US" w:eastAsia="zh-CN"/>
        </w:rPr>
        <w:t>积极践行普法宣传，推动法治环境建设</w:t>
      </w:r>
      <w:r>
        <w:rPr>
          <w:rFonts w:hint="eastAsia" w:ascii="仿宋" w:hAnsi="仿宋" w:eastAsia="仿宋" w:cs="仿宋_GB2312"/>
          <w:sz w:val="32"/>
          <w:szCs w:val="32"/>
          <w:lang w:val="en-US" w:eastAsia="zh-CN"/>
        </w:rPr>
        <w:t>。</w:t>
      </w:r>
      <w:r>
        <w:rPr>
          <w:rFonts w:hint="eastAsia" w:ascii="仿宋" w:hAnsi="仿宋" w:eastAsia="仿宋" w:cs="仿宋_GB2312"/>
          <w:sz w:val="32"/>
          <w:szCs w:val="32"/>
          <w:lang w:val="en-US" w:eastAsia="zh-CN"/>
        </w:rPr>
        <w:t>区金融办还将法治思想学习成果主动融入工作实践，</w:t>
      </w:r>
      <w:r>
        <w:rPr>
          <w:rFonts w:hint="eastAsia" w:ascii="仿宋" w:hAnsi="仿宋" w:eastAsia="仿宋" w:cs="仿宋_GB2312"/>
          <w:sz w:val="32"/>
          <w:szCs w:val="32"/>
          <w:lang w:val="zh-TW" w:eastAsia="zh-CN"/>
        </w:rPr>
        <w:t>会同区公安分局等相关部门开展《反有组织犯罪法》涉及</w:t>
      </w:r>
      <w:r>
        <w:rPr>
          <w:rFonts w:hint="eastAsia" w:ascii="仿宋" w:hAnsi="仿宋" w:eastAsia="仿宋" w:cs="仿宋_GB2312"/>
          <w:sz w:val="32"/>
          <w:szCs w:val="32"/>
          <w:lang w:val="en-US" w:eastAsia="zh-CN"/>
        </w:rPr>
        <w:t>养老领域非法集资的普法宣传，向</w:t>
      </w:r>
      <w:r>
        <w:rPr>
          <w:rFonts w:hint="eastAsia" w:ascii="仿宋" w:hAnsi="仿宋" w:eastAsia="仿宋" w:cs="仿宋_GB2312"/>
          <w:sz w:val="32"/>
          <w:szCs w:val="32"/>
          <w:lang w:val="zh-TW" w:eastAsia="zh-CN"/>
        </w:rPr>
        <w:t>街道营商部门、功能区公司和社区干部群众深入浅出讲解</w:t>
      </w:r>
      <w:r>
        <w:rPr>
          <w:rFonts w:hint="eastAsia" w:ascii="仿宋" w:hAnsi="仿宋" w:eastAsia="仿宋" w:cs="仿宋_GB2312"/>
          <w:sz w:val="32"/>
          <w:szCs w:val="32"/>
          <w:lang w:val="en-US" w:eastAsia="zh-CN"/>
        </w:rPr>
        <w:t>校园贷、培训贷、美容贷、套路贷、现金贷、暴力催收、洗钱等涉黑涉恶风险，</w:t>
      </w:r>
      <w:r>
        <w:rPr>
          <w:rFonts w:hint="eastAsia" w:ascii="仿宋" w:hAnsi="仿宋" w:eastAsia="仿宋" w:cs="仿宋_GB2312"/>
          <w:sz w:val="32"/>
          <w:szCs w:val="32"/>
          <w:lang w:val="zh-TW" w:eastAsia="zh-CN"/>
        </w:rPr>
        <w:t>营造扫黑除恶专项斗争氛围，有效提升了人民群众法治获得感。</w:t>
      </w:r>
      <w:r>
        <w:rPr>
          <w:rFonts w:hint="eastAsia" w:ascii="仿宋" w:hAnsi="仿宋" w:eastAsia="仿宋" w:cs="仿宋_GB2312"/>
          <w:sz w:val="32"/>
          <w:szCs w:val="32"/>
          <w:lang w:val="en-US" w:eastAsia="zh-CN"/>
        </w:rPr>
        <w:t>对相关部门开展《防范和处置非法集资条例》培训，加强金融领域安全防范工作意识。</w:t>
      </w:r>
    </w:p>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zh-TW" w:eastAsia="zh-CN"/>
        </w:rPr>
      </w:pPr>
      <w:r>
        <w:rPr>
          <w:rFonts w:hint="eastAsia" w:ascii="黑体" w:hAnsi="黑体" w:eastAsia="黑体" w:cs="黑体"/>
          <w:sz w:val="32"/>
          <w:szCs w:val="32"/>
          <w:lang w:val="zh-TW" w:eastAsia="zh-CN"/>
        </w:rPr>
        <w:t>存在不足及原因</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_GB2312"/>
          <w:sz w:val="32"/>
          <w:szCs w:val="32"/>
          <w:lang w:val="en-US" w:eastAsia="zh-CN"/>
        </w:rPr>
      </w:pPr>
      <w:r>
        <w:rPr>
          <w:rFonts w:hint="eastAsia" w:ascii="仿宋" w:hAnsi="仿宋" w:eastAsia="仿宋" w:cs="仿宋_GB2312"/>
          <w:b/>
          <w:bCs/>
          <w:sz w:val="32"/>
          <w:szCs w:val="32"/>
          <w:lang w:val="en-US" w:eastAsia="zh-CN"/>
        </w:rPr>
        <w:t>党建与金融法治建设紧密度有待提升。</w:t>
      </w:r>
      <w:r>
        <w:rPr>
          <w:rFonts w:hint="eastAsia" w:ascii="仿宋" w:hAnsi="仿宋" w:eastAsia="仿宋" w:cs="仿宋_GB2312"/>
          <w:sz w:val="32"/>
          <w:szCs w:val="32"/>
          <w:lang w:val="en-US" w:eastAsia="zh-CN"/>
        </w:rPr>
        <w:t>党建促进金融法治建设的认识不足，基层金融法治建设和党建工作有机融合还不够，系统性研究比较薄弱，同步推进的办法不多。党建特色未完全释放，部分党建联盟金融法治建设基础较薄弱，党员对相关政策法规消化吸收不够，研究不够扎实。对如何强化“金融法治+党建”示范引领作用的措施举措还需进一步探索。</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_GB2312"/>
          <w:sz w:val="32"/>
          <w:szCs w:val="32"/>
          <w:lang w:val="en-US" w:eastAsia="zh-CN"/>
        </w:rPr>
      </w:pPr>
      <w:r>
        <w:rPr>
          <w:rFonts w:hint="eastAsia" w:ascii="仿宋" w:hAnsi="仿宋" w:eastAsia="仿宋" w:cs="仿宋_GB2312"/>
          <w:b/>
          <w:bCs/>
          <w:sz w:val="32"/>
          <w:szCs w:val="32"/>
          <w:lang w:val="en-US" w:eastAsia="zh-CN"/>
        </w:rPr>
        <w:t>须要进一步加强新领域金融法治建设。</w:t>
      </w:r>
      <w:r>
        <w:rPr>
          <w:rFonts w:hint="eastAsia" w:ascii="仿宋" w:hAnsi="仿宋" w:eastAsia="仿宋" w:cs="仿宋_GB2312"/>
          <w:sz w:val="32"/>
          <w:szCs w:val="32"/>
          <w:lang w:val="en-US" w:eastAsia="zh-CN"/>
        </w:rPr>
        <w:t>在正面宣传推进全区金融法治建设成果成效基础上，对于新领域新形态的金融防风险能力有待强化。比如针对网络意识形态和贯彻国家总体安全观的认识还不到位，对于防范金融领域风险向意识形态领域传导的风险防范意识和工作举措须要进一步加强。</w:t>
      </w:r>
    </w:p>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主要领导履职情况</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区金融办严格落实依法治区要求，明确法治建设第一责任人制度，压实主要责任。以习近平新时代中国特色社会主义思想为指导，以落实全面从严治党主体责任为抓手，坚决贯彻法治政府建设工作要点，组织领导有力、推进工作扎实、队伍建设向好。</w:t>
      </w:r>
      <w:r>
        <w:rPr>
          <w:rFonts w:hint="eastAsia" w:ascii="仿宋" w:hAnsi="仿宋" w:eastAsia="仿宋" w:cs="仿宋_GB2312"/>
          <w:b/>
          <w:bCs/>
          <w:sz w:val="32"/>
          <w:szCs w:val="32"/>
          <w:lang w:val="en-US" w:eastAsia="zh-CN"/>
        </w:rPr>
        <w:t>一是强化“四责协同”落实。</w:t>
      </w:r>
      <w:r>
        <w:rPr>
          <w:rFonts w:hint="eastAsia" w:ascii="仿宋" w:hAnsi="仿宋" w:eastAsia="仿宋" w:cs="仿宋_GB2312"/>
          <w:sz w:val="32"/>
          <w:szCs w:val="32"/>
          <w:lang w:val="en-US" w:eastAsia="zh-CN"/>
        </w:rPr>
        <w:t>切实把金融法治落实到工作上、体现到行动中，召开“四责协同”中期责任项目推进交流会，针对业务中可能存在的风险提前排查并制定预防措施，运用科技赋能非法金融活动风险防控等。</w:t>
      </w:r>
      <w:r>
        <w:rPr>
          <w:rFonts w:hint="eastAsia" w:ascii="仿宋" w:hAnsi="仿宋" w:eastAsia="仿宋" w:cs="仿宋_GB2312"/>
          <w:b/>
          <w:bCs/>
          <w:sz w:val="32"/>
          <w:szCs w:val="32"/>
          <w:lang w:val="en-US" w:eastAsia="zh-CN"/>
        </w:rPr>
        <w:t>二是重实践谋实效。</w:t>
      </w:r>
      <w:r>
        <w:rPr>
          <w:rFonts w:hint="eastAsia" w:ascii="仿宋" w:hAnsi="仿宋" w:eastAsia="仿宋" w:cs="仿宋_GB2312"/>
          <w:sz w:val="32"/>
          <w:szCs w:val="32"/>
          <w:lang w:val="en-US" w:eastAsia="zh-CN"/>
        </w:rPr>
        <w:t>将政策法规学习和主题教育等成果转化为工作成效，在金融监管、创新治理方面发挥作用，持续推进党群阵地建设，做实政银企党建联盟，探索打造各类党建联盟，凸显金融法治成果成效。</w:t>
      </w:r>
      <w:r>
        <w:rPr>
          <w:rFonts w:hint="eastAsia" w:ascii="仿宋" w:hAnsi="仿宋" w:eastAsia="仿宋" w:cs="仿宋_GB2312"/>
          <w:b/>
          <w:bCs/>
          <w:sz w:val="32"/>
          <w:szCs w:val="32"/>
          <w:lang w:val="en-US" w:eastAsia="zh-CN"/>
        </w:rPr>
        <w:t>三是注重风险防范。</w:t>
      </w:r>
      <w:r>
        <w:rPr>
          <w:rFonts w:hint="eastAsia" w:ascii="仿宋" w:hAnsi="仿宋" w:eastAsia="仿宋" w:cs="仿宋_GB2312"/>
          <w:sz w:val="32"/>
          <w:szCs w:val="32"/>
          <w:lang w:val="en-US" w:eastAsia="zh-CN"/>
        </w:rPr>
        <w:t>以牢守金融风险底线为准则，维护金融环境安全稳定发展，防范和处置非法金融活动工作受到国务院处非联办高度肯定，相关工作经验被国家级刊物《处置非法集资动态》2023年第25期专刊刊登并在全国推广。</w:t>
      </w:r>
      <w:bookmarkStart w:id="0" w:name="_GoBack"/>
      <w:bookmarkEnd w:id="0"/>
    </w:p>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2023年度主要安排</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2024年，区金融办继续深入贯彻党的二十大精神，对标对表《上海法治政府建设规划（2021-2025年）》要求，及时总结主题教育经验成果，切实肩负起法治政府建设责任，围绕“建设新徐汇，奋进新征程”目标任务，不断夯实法治基础，推进法治政府建设。</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_GB2312"/>
          <w:b/>
          <w:bCs/>
          <w:sz w:val="32"/>
          <w:szCs w:val="32"/>
          <w:lang w:val="en-US" w:eastAsia="zh-CN"/>
        </w:rPr>
      </w:pPr>
      <w:r>
        <w:rPr>
          <w:rFonts w:hint="eastAsia" w:ascii="仿宋" w:hAnsi="仿宋" w:eastAsia="仿宋" w:cs="仿宋_GB2312"/>
          <w:b/>
          <w:bCs/>
          <w:sz w:val="32"/>
          <w:szCs w:val="32"/>
          <w:lang w:val="en-US" w:eastAsia="zh-CN"/>
        </w:rPr>
        <w:t>一是要提高政治站位，高度重视金融防风险</w:t>
      </w:r>
      <w:r>
        <w:rPr>
          <w:rFonts w:hint="eastAsia" w:ascii="仿宋" w:hAnsi="仿宋" w:eastAsia="仿宋" w:cs="仿宋_GB2312"/>
          <w:b w:val="0"/>
          <w:bCs w:val="0"/>
          <w:sz w:val="32"/>
          <w:szCs w:val="32"/>
          <w:lang w:val="en-US" w:eastAsia="zh-CN"/>
        </w:rPr>
        <w:t>。要根据类金融风险排查结果，上门约谈、摸清风险企业底数，防范和打击涉非涉稳的违法行为。要优化源头防范机制，杜绝推诿扯皮。在贯彻“谁引进、谁负责”的同时，强化金融专业能力，重点关注企业股东背景、网络舆情等关键信息，有效甄别风险企业，并建立常态化摸排机制。要深化宣传引导，提升金融安全意识。做细宣传工作，增强公众理性投资意识。</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_GB2312"/>
          <w:sz w:val="32"/>
          <w:szCs w:val="32"/>
          <w:lang w:val="en-US" w:eastAsia="zh-CN"/>
        </w:rPr>
      </w:pPr>
      <w:r>
        <w:rPr>
          <w:rFonts w:hint="eastAsia" w:ascii="仿宋" w:hAnsi="仿宋" w:eastAsia="仿宋" w:cs="仿宋_GB2312"/>
          <w:b/>
          <w:bCs/>
          <w:sz w:val="32"/>
          <w:szCs w:val="32"/>
          <w:lang w:val="en-US" w:eastAsia="zh-CN"/>
        </w:rPr>
        <w:t>二是要加强部门协同，凝聚防风险工作合力</w:t>
      </w:r>
      <w:r>
        <w:rPr>
          <w:rFonts w:hint="eastAsia" w:ascii="仿宋" w:hAnsi="仿宋" w:eastAsia="仿宋" w:cs="仿宋_GB2312"/>
          <w:b w:val="0"/>
          <w:bCs w:val="0"/>
          <w:sz w:val="32"/>
          <w:szCs w:val="32"/>
          <w:lang w:val="en-US" w:eastAsia="zh-CN"/>
        </w:rPr>
        <w:t>。建立完善有效工作机制，真正把防范和化解金融风险的工作力量凝聚起来；要加强防范新型网络电信诈骗工作，针对当前不法分子诈骗</w:t>
      </w:r>
      <w:r>
        <w:rPr>
          <w:rFonts w:hint="default" w:ascii="仿宋" w:hAnsi="仿宋" w:eastAsia="仿宋" w:cs="仿宋_GB2312"/>
          <w:b w:val="0"/>
          <w:bCs w:val="0"/>
          <w:sz w:val="32"/>
          <w:szCs w:val="32"/>
          <w:lang w:val="en-US" w:eastAsia="zh-CN"/>
        </w:rPr>
        <w:t>形式多样</w:t>
      </w:r>
      <w:r>
        <w:rPr>
          <w:rFonts w:hint="eastAsia" w:ascii="仿宋" w:hAnsi="仿宋" w:eastAsia="仿宋" w:cs="仿宋_GB2312"/>
          <w:b w:val="0"/>
          <w:bCs w:val="0"/>
          <w:sz w:val="32"/>
          <w:szCs w:val="32"/>
          <w:lang w:val="en-US" w:eastAsia="zh-CN"/>
        </w:rPr>
        <w:t>、</w:t>
      </w:r>
      <w:r>
        <w:rPr>
          <w:rFonts w:hint="default" w:ascii="仿宋" w:hAnsi="仿宋" w:eastAsia="仿宋" w:cs="仿宋_GB2312"/>
          <w:b w:val="0"/>
          <w:bCs w:val="0"/>
          <w:sz w:val="32"/>
          <w:szCs w:val="32"/>
          <w:lang w:val="en-US" w:eastAsia="zh-CN"/>
        </w:rPr>
        <w:t>手段复杂多变</w:t>
      </w:r>
      <w:r>
        <w:rPr>
          <w:rFonts w:hint="eastAsia" w:ascii="仿宋" w:hAnsi="仿宋" w:eastAsia="仿宋" w:cs="仿宋_GB2312"/>
          <w:b w:val="0"/>
          <w:bCs w:val="0"/>
          <w:sz w:val="32"/>
          <w:szCs w:val="32"/>
          <w:lang w:val="en-US" w:eastAsia="zh-CN"/>
        </w:rPr>
        <w:t>的新形势新问题</w:t>
      </w:r>
      <w:r>
        <w:rPr>
          <w:rFonts w:hint="default" w:ascii="仿宋" w:hAnsi="仿宋" w:eastAsia="仿宋" w:cs="仿宋_GB2312"/>
          <w:b w:val="0"/>
          <w:bCs w:val="0"/>
          <w:sz w:val="32"/>
          <w:szCs w:val="32"/>
          <w:lang w:val="en-US" w:eastAsia="zh-CN"/>
        </w:rPr>
        <w:t>，</w:t>
      </w:r>
      <w:r>
        <w:rPr>
          <w:rFonts w:hint="eastAsia" w:ascii="仿宋" w:hAnsi="仿宋" w:eastAsia="仿宋" w:cs="仿宋_GB2312"/>
          <w:b w:val="0"/>
          <w:bCs w:val="0"/>
          <w:sz w:val="32"/>
          <w:szCs w:val="32"/>
          <w:lang w:val="en-US" w:eastAsia="zh-CN"/>
        </w:rPr>
        <w:t>要抓实防范措施，针对利用微信及短信平台的新型诈骗手段，要进一步加强日常防范意识。要抓牢宣传工作，持续强化市民的反诈意识。</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_GB2312"/>
          <w:b w:val="0"/>
          <w:bCs w:val="0"/>
          <w:sz w:val="32"/>
          <w:szCs w:val="32"/>
          <w:lang w:val="en-US" w:eastAsia="zh-CN"/>
        </w:rPr>
      </w:pPr>
      <w:r>
        <w:rPr>
          <w:rFonts w:hint="eastAsia" w:ascii="仿宋" w:hAnsi="仿宋" w:eastAsia="仿宋" w:cs="仿宋_GB2312"/>
          <w:b/>
          <w:bCs/>
          <w:sz w:val="32"/>
          <w:szCs w:val="32"/>
          <w:lang w:val="en-US" w:eastAsia="zh-CN"/>
        </w:rPr>
        <w:t>三是要全面加强金融监管，有效防范化解金融风险</w:t>
      </w:r>
      <w:r>
        <w:rPr>
          <w:rFonts w:hint="eastAsia" w:ascii="仿宋" w:hAnsi="仿宋" w:eastAsia="仿宋" w:cs="仿宋_GB2312"/>
          <w:b w:val="0"/>
          <w:bCs w:val="0"/>
          <w:sz w:val="32"/>
          <w:szCs w:val="32"/>
          <w:lang w:val="en-US" w:eastAsia="zh-CN"/>
        </w:rPr>
        <w:t>。切实提高金融监管有效性，依法落实金融活动全部纳入监管，全面强化机构监管、行为监管、功能监管、穿透式监管、持续监管，消除监管空白和盲区，严格执法、敢于亮剑，严厉打击非法金融活动。</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decorative"/>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华文楷体">
    <w:altName w:val="方正楷体_GBK"/>
    <w:panose1 w:val="02010600040101010101"/>
    <w:charset w:val="00"/>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786ED1"/>
    <w:multiLevelType w:val="singleLevel"/>
    <w:tmpl w:val="EF786ED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932AA"/>
    <w:rsid w:val="2F7E83FE"/>
    <w:rsid w:val="3EBF5787"/>
    <w:rsid w:val="3EFD78F6"/>
    <w:rsid w:val="58F5517D"/>
    <w:rsid w:val="5FFD9D3A"/>
    <w:rsid w:val="6BCD1393"/>
    <w:rsid w:val="6FF9940C"/>
    <w:rsid w:val="6FFB9975"/>
    <w:rsid w:val="76F8866C"/>
    <w:rsid w:val="79B621C4"/>
    <w:rsid w:val="7ECBE6D1"/>
    <w:rsid w:val="7F3FD92D"/>
    <w:rsid w:val="7F7932AA"/>
    <w:rsid w:val="97FB2503"/>
    <w:rsid w:val="A2FFEAB7"/>
    <w:rsid w:val="CFF9886E"/>
    <w:rsid w:val="DE23DAB1"/>
    <w:rsid w:val="E5D7DB52"/>
    <w:rsid w:val="EAFD7D74"/>
    <w:rsid w:val="ED0112D4"/>
    <w:rsid w:val="F9EB9C14"/>
    <w:rsid w:val="FA5E95DF"/>
    <w:rsid w:val="FBEC9C5A"/>
    <w:rsid w:val="FBFF0F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style>
  <w:style w:type="paragraph" w:styleId="3">
    <w:name w:val="Body Text"/>
    <w:basedOn w:val="1"/>
    <w:next w:val="4"/>
    <w:qFormat/>
    <w:uiPriority w:val="0"/>
    <w:pPr>
      <w:spacing w:after="140" w:line="276" w:lineRule="auto"/>
    </w:pPr>
    <w:rPr>
      <w:rFonts w:ascii="Times New Roman" w:hAnsi="Times New Roman" w:eastAsia="宋体" w:cs="Times New Roman"/>
      <w:szCs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6">
    <w:name w:val="Body Text 2"/>
    <w:basedOn w:val="1"/>
    <w:qFormat/>
    <w:uiPriority w:val="0"/>
    <w:pPr>
      <w:ind w:firstLine="184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Emphasis"/>
    <w:basedOn w:val="9"/>
    <w:qFormat/>
    <w:uiPriority w:val="0"/>
    <w:rPr>
      <w:i/>
    </w:rPr>
  </w:style>
  <w:style w:type="character" w:customStyle="1" w:styleId="11">
    <w:name w:val="NormalCharacter"/>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2023-01-29T01:05:00Z</dcterms:created>
  <dc:creator>user</dc:creator>
  <cp:lastModifiedBy>user</cp:lastModifiedBy>
  <dcterms:modified xsi:type="dcterms:W3CDTF">2024-01-18T16:11:16Z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